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CB3" w:rsidRPr="0093453E" w:rsidRDefault="00820CB3" w:rsidP="00820CB3">
      <w:pPr>
        <w:rPr>
          <w:rFonts w:ascii="黑体" w:eastAsia="黑体" w:hint="eastAsia"/>
          <w:sz w:val="24"/>
          <w:szCs w:val="24"/>
        </w:rPr>
      </w:pPr>
      <w:r w:rsidRPr="0093453E">
        <w:rPr>
          <w:rFonts w:ascii="黑体" w:eastAsia="黑体" w:hAnsi="宋体" w:hint="eastAsia"/>
          <w:sz w:val="24"/>
          <w:szCs w:val="24"/>
        </w:rPr>
        <w:t>附件三</w:t>
      </w:r>
    </w:p>
    <w:p w:rsidR="00820CB3" w:rsidRPr="00EE03DA" w:rsidRDefault="00820CB3" w:rsidP="00820CB3">
      <w:pPr>
        <w:spacing w:line="440" w:lineRule="exact"/>
        <w:jc w:val="center"/>
        <w:rPr>
          <w:rFonts w:ascii="黑体" w:eastAsia="黑体" w:hAnsi="黑体" w:hint="eastAsia"/>
          <w:sz w:val="28"/>
          <w:szCs w:val="28"/>
        </w:rPr>
      </w:pPr>
      <w:r w:rsidRPr="00EE03DA">
        <w:rPr>
          <w:rFonts w:ascii="黑体" w:eastAsia="黑体" w:hAnsi="黑体" w:hint="eastAsia"/>
          <w:sz w:val="28"/>
          <w:szCs w:val="28"/>
        </w:rPr>
        <w:t>山东农业大学教学科研实践育人基地建设评估标准</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15"/>
        <w:gridCol w:w="980"/>
        <w:gridCol w:w="560"/>
        <w:gridCol w:w="7280"/>
        <w:gridCol w:w="2100"/>
        <w:gridCol w:w="420"/>
        <w:gridCol w:w="420"/>
        <w:gridCol w:w="420"/>
        <w:gridCol w:w="420"/>
        <w:gridCol w:w="960"/>
      </w:tblGrid>
      <w:tr w:rsidR="00820CB3" w:rsidRPr="00EE03DA" w:rsidTr="00C15343">
        <w:tblPrEx>
          <w:tblCellMar>
            <w:top w:w="0" w:type="dxa"/>
            <w:bottom w:w="0" w:type="dxa"/>
          </w:tblCellMar>
        </w:tblPrEx>
        <w:trPr>
          <w:cantSplit/>
          <w:trHeight w:val="142"/>
          <w:tblHeader/>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一级</w:t>
            </w:r>
          </w:p>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指标</w:t>
            </w:r>
          </w:p>
        </w:tc>
        <w:tc>
          <w:tcPr>
            <w:tcW w:w="980"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二级指标</w:t>
            </w:r>
          </w:p>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（项目）</w:t>
            </w:r>
          </w:p>
        </w:tc>
        <w:tc>
          <w:tcPr>
            <w:tcW w:w="560"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权重</w:t>
            </w:r>
          </w:p>
        </w:tc>
        <w:tc>
          <w:tcPr>
            <w:tcW w:w="9380" w:type="dxa"/>
            <w:gridSpan w:val="2"/>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评价要素与标准</w:t>
            </w:r>
          </w:p>
        </w:tc>
        <w:tc>
          <w:tcPr>
            <w:tcW w:w="1680" w:type="dxa"/>
            <w:gridSpan w:val="4"/>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总评定结果</w:t>
            </w:r>
          </w:p>
        </w:tc>
        <w:tc>
          <w:tcPr>
            <w:tcW w:w="960"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备注</w:t>
            </w:r>
          </w:p>
        </w:tc>
      </w:tr>
      <w:tr w:rsidR="00820CB3" w:rsidRPr="00EE03DA" w:rsidTr="00C15343">
        <w:tblPrEx>
          <w:tblCellMar>
            <w:top w:w="0" w:type="dxa"/>
            <w:bottom w:w="0" w:type="dxa"/>
          </w:tblCellMar>
        </w:tblPrEx>
        <w:trPr>
          <w:cantSplit/>
          <w:trHeight w:val="142"/>
          <w:tblHeader/>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Merge/>
            <w:vAlign w:val="center"/>
          </w:tcPr>
          <w:p w:rsidR="00820CB3" w:rsidRPr="00EE03DA" w:rsidRDefault="00820CB3" w:rsidP="00C15343">
            <w:pPr>
              <w:jc w:val="center"/>
              <w:rPr>
                <w:rFonts w:ascii="仿宋" w:eastAsia="仿宋" w:hAnsi="仿宋" w:hint="eastAsia"/>
                <w:szCs w:val="21"/>
              </w:rPr>
            </w:pPr>
          </w:p>
        </w:tc>
        <w:tc>
          <w:tcPr>
            <w:tcW w:w="560" w:type="dxa"/>
            <w:vMerge/>
            <w:vAlign w:val="center"/>
          </w:tcPr>
          <w:p w:rsidR="00820CB3" w:rsidRPr="00EE03DA" w:rsidRDefault="00820CB3" w:rsidP="00C15343">
            <w:pPr>
              <w:jc w:val="center"/>
              <w:rPr>
                <w:rFonts w:ascii="仿宋" w:eastAsia="仿宋" w:hAnsi="仿宋" w:hint="eastAsia"/>
                <w:szCs w:val="21"/>
              </w:rPr>
            </w:pPr>
          </w:p>
        </w:tc>
        <w:tc>
          <w:tcPr>
            <w:tcW w:w="72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A级标准</w:t>
            </w:r>
          </w:p>
        </w:tc>
        <w:tc>
          <w:tcPr>
            <w:tcW w:w="210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C级标准</w:t>
            </w:r>
          </w:p>
        </w:tc>
        <w:tc>
          <w:tcPr>
            <w:tcW w:w="42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A</w:t>
            </w:r>
          </w:p>
        </w:tc>
        <w:tc>
          <w:tcPr>
            <w:tcW w:w="42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B</w:t>
            </w:r>
          </w:p>
        </w:tc>
        <w:tc>
          <w:tcPr>
            <w:tcW w:w="42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C</w:t>
            </w:r>
          </w:p>
        </w:tc>
        <w:tc>
          <w:tcPr>
            <w:tcW w:w="42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D</w:t>
            </w:r>
          </w:p>
        </w:tc>
        <w:tc>
          <w:tcPr>
            <w:tcW w:w="960" w:type="dxa"/>
            <w:vMerge/>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669"/>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组织领导与建设规划</w:t>
            </w: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组织领导</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0.10</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学院及基地依托单位（以下统称企业）领导高度重视实践教学基地建设，建立基地管理机构，负责基地建设的检查、监督、考核和评估。建立了由学院有关人员和企业专家共同组成的实践教学指导委员会，并形成有效的工作机制；企业接纳学院教师开展实践活动，接收学生开展顶岗实习和专业实训。</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双方领导能够重视基地建设，合作良好，工作有成效。</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853"/>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建设规划</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有符合学院与基地长期、稳定合作协调发展的建设规划，基地建设纳入学院建设发展规划，基地建设目标、内容、进程明确，并制定了一系列切实可行的建设措施。积极推进校企合作、产学合作的办学模式；注重学做结合、任务驱动、项目导向、顶岗实习等融“教、学、做”为一体的教学模式改革；大力推行以学做结合、订单培养为代表的人才培养模式。</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有规划，能落实，措施可行。</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2252"/>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建设目标与思路</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建设方案目标明确，符合《山东农业大学教学科研实践育人基地建设与管理办法》要求。建设思路清晰，根据建设目标定位和预期成果，结合行业产业、企业和学校实际，利用团队优势，整合社会资源，充分体现学做结合的人才培养模式、校企合作的建设方式，体现实践教学基地的建设水平；各项建设指标易于操作和评估监测；方案整体有很强的示范作用。</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建设目标明确，具有一定的发展思路。</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2056"/>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lastRenderedPageBreak/>
              <w:t>条件建设</w:t>
            </w: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教学条件</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0.10</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根据人才培养目标要求，建立了科学、完整的实践教学体系；有满足实践教学的实际项目，实践教学计划、实施方案完备，所开出实践环节的教学大纲、指导书及相关教学资料齐全，有明确的实践技能培训目标和要求，实践环节项目与职业岗位能力要求一致，以生产性实习实训为目标，使实习实训内容与实际生产相结合，基本实现了实习实训与生产的对接；实习实训现场符合国家相关法规的要求，具有企业生产的氛围。</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基地建设和发展基础较好，具有一定的接受学生教学、生产实习的能力，能提供必要的实习条件。</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682"/>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基础条件</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snapToGrid w:val="0"/>
              <w:rPr>
                <w:rFonts w:ascii="仿宋" w:eastAsia="仿宋" w:hAnsi="仿宋" w:hint="eastAsia"/>
                <w:szCs w:val="21"/>
              </w:rPr>
            </w:pPr>
            <w:r w:rsidRPr="00EE03DA">
              <w:rPr>
                <w:rFonts w:ascii="仿宋" w:eastAsia="仿宋" w:hAnsi="仿宋" w:hint="eastAsia"/>
                <w:szCs w:val="21"/>
              </w:rPr>
              <w:t>基地具有良好的办学条件，校企合作紧密；专业人才培养目标清晰，定位准确；社会服务能力强，社会认可度高。基地的食宿、实习实训场地建筑面积能满足相关专业学生实习实训需要，具有较强的接受学生教学实习、生产实习和社会实践的能力，每次可为30名以上学生提供连续实习时间不低于1个月的实习岗位，年接纳实训人数150人以上。基地企业文化丰富，营造了真实的工作环境和文化氛围，场所环境整洁，安全条件有保障。</w:t>
            </w:r>
          </w:p>
        </w:tc>
        <w:tc>
          <w:tcPr>
            <w:tcW w:w="2100" w:type="dxa"/>
            <w:vAlign w:val="center"/>
          </w:tcPr>
          <w:p w:rsidR="00820CB3" w:rsidRPr="00EE03DA" w:rsidRDefault="00820CB3" w:rsidP="00C15343">
            <w:pP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486"/>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科研条件</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具有一定的生产、开发规模和较先进的技术、管理水平；仪器设备能够体现当前行业技术发展水平；能够很好地配合科技推广、开发以及进行科学研究，大力开展科技培训、科技咨询、科技宣传工作。学院优先在基地开展高新技术推广、示范，开展科学研究，基地积极提供便利条件。</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能够合作或具有一定的合作潜力。</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486"/>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就业条件</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具有规范的人才引进和培养使用管理办法，至少能够接收我校2个专业、10名以上的毕业生就业或顶岗实习；年度招聘计划及时提供给学校进行发布，积极参加学校举办的校园招聘活动和毕业生就业市场，同等条件下优先录用我校毕业生；基地优秀管理或技术人员可担任学生就业创业指导教师，积极参加学校组织的就业创业教育指导活动；积极协助学校做好毕业生就业质量跟踪调查，为学校的专业建设、人才培养和就业指导服务工作提供有效反馈意见。</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人才引进和培养使用工作规范，有接收毕业生的计划，积极参加学校举办的校园招聘活动，同等条件下优先录用我校毕业生。</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2228"/>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队伍建设</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有实践教学指导教师队伍配备与培养的总体方案，具体目标落实到岗到人；教师队伍结构合理、规模适度、互补性强，满足基地教学需要。基地依托单位具有较强的指导学生实习实训力量，配有专兼职指导教师10人以上，能工巧匠、专家承担实训课、专业实习指导等教学工作，参与人才培养过程，指导教师中高级职称以上的比例占60%以上。学院有一批强干的指导基地建设的指导力量，有固定的基地联系人，有在基地挂职的副高级以上职称人员，每年到企业工作的专业教师人数及时间达到一定规模。</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有实践教学指导教师队伍，参与一定的实训课、专业实习指导等教学工作。双方均有固定的基地建设联系人。</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215"/>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管理体制</w:t>
            </w: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管理制度</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管理规章制度健全，管理手段先进，执行严格，能根据人才市场需求的变化，不断推进管理制度的改革与创新；教学文件齐备，实习实训教学安排科学、合理，设备管理制度、安全操作规程、相关专业工艺守则等规章制度健全，并严格执行。</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有管理制度，双方能遵守。</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556"/>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运行机制</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0.10</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管理、运行机制良好，能够满足培养学生实践技能、实习实训要求及基地自身发展、运营要求，校企双方互利共赢。开展学做结合、订单式培养项目，并有统计；各教学环节建立了符合要求的质量标准或工作规范，质量监控体系运转良好，效果明显。学生实习实训管理与考核科学、规范，可操作性强，过程记录详实、完整、全面。</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运行机制有待调整。各教学环节有标准。对学生实习实训有考核，有记录。</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047"/>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保障措施</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0.10</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制定了有效的校企合作实施办法，学院以专业、科技、人才优势支持企业发展；企业以人、财、物的保障支持学校实践教学；经费预算合理，符合经费使用规定；有切实可行的经费管理办法，专款专用。</w:t>
            </w:r>
          </w:p>
        </w:tc>
        <w:tc>
          <w:tcPr>
            <w:tcW w:w="2100" w:type="dxa"/>
            <w:vAlign w:val="center"/>
          </w:tcPr>
          <w:p w:rsidR="00820CB3" w:rsidRPr="00EE03DA" w:rsidRDefault="00820CB3" w:rsidP="00C15343">
            <w:pP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1230"/>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效果及效益</w:t>
            </w: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教学效果</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0.15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学生实习实训成绩分布合理；学生对实习实训的评价高；学生通过基地实践，有效提高了分析问题、解决问题的能力，锻炼和培养了组织能力、社交能力和综合技能，在各类技能竞赛项目中取得较好成绩或撰写出高质量的调查报告、实习报告、毕业论文等。各类考核、评价有记录。</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具有较好的实践教学效果。</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934"/>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科技成效</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学院的科技成果能够快速有效地在基地推广、应用，取得显著的经济效益，有重大科研成果或优秀教学成果。</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取得了较好的科技推广、示范效果，有明显的经济效益。</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934"/>
          <w:jc w:val="center"/>
        </w:trPr>
        <w:tc>
          <w:tcPr>
            <w:tcW w:w="615" w:type="dxa"/>
            <w:vMerge/>
            <w:vAlign w:val="center"/>
          </w:tcPr>
          <w:p w:rsidR="00820CB3" w:rsidRPr="00EE03DA" w:rsidRDefault="00820CB3" w:rsidP="00C15343">
            <w:pPr>
              <w:jc w:val="center"/>
              <w:rPr>
                <w:rFonts w:ascii="仿宋" w:eastAsia="仿宋" w:hAnsi="仿宋" w:hint="eastAsia"/>
                <w:szCs w:val="21"/>
              </w:rPr>
            </w:pPr>
          </w:p>
        </w:tc>
        <w:tc>
          <w:tcPr>
            <w:tcW w:w="98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社会效益</w:t>
            </w:r>
          </w:p>
        </w:tc>
        <w:tc>
          <w:tcPr>
            <w:tcW w:w="560" w:type="dxa"/>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0.05</w:t>
            </w:r>
          </w:p>
        </w:tc>
        <w:tc>
          <w:tcPr>
            <w:tcW w:w="728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科技含量高，具有良好的高新技术科技示范推广辐射作用，能有效推进周边地区的科技发展，在本地区内具有较高的社会声誉和影响。基地主动面向市场，能够为社会提供配套技术服务，有稳定的联合生产订单和产品研发项目。</w:t>
            </w:r>
          </w:p>
        </w:tc>
        <w:tc>
          <w:tcPr>
            <w:tcW w:w="2100" w:type="dxa"/>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能推动当地及周边地区的科技发展，具有一定的社会声誉和影响。</w:t>
            </w: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420" w:type="dxa"/>
            <w:vAlign w:val="center"/>
          </w:tcPr>
          <w:p w:rsidR="00820CB3" w:rsidRPr="00EE03DA" w:rsidRDefault="00820CB3" w:rsidP="00C15343">
            <w:pPr>
              <w:jc w:val="center"/>
              <w:rPr>
                <w:rFonts w:ascii="仿宋" w:eastAsia="仿宋" w:hAnsi="仿宋" w:hint="eastAsia"/>
                <w:szCs w:val="21"/>
              </w:rPr>
            </w:pP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448"/>
          <w:jc w:val="center"/>
        </w:trPr>
        <w:tc>
          <w:tcPr>
            <w:tcW w:w="615" w:type="dxa"/>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加分项目</w:t>
            </w:r>
          </w:p>
        </w:tc>
        <w:tc>
          <w:tcPr>
            <w:tcW w:w="1540" w:type="dxa"/>
            <w:gridSpan w:val="2"/>
            <w:vMerge w:val="restart"/>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特色与创新</w:t>
            </w:r>
          </w:p>
        </w:tc>
        <w:tc>
          <w:tcPr>
            <w:tcW w:w="9380" w:type="dxa"/>
            <w:gridSpan w:val="2"/>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基地建设与管理工作有创新项目，独具特色，效果显著，有很好的辐射、示范作用，对基地建设与管理工作有全面的推进作用。</w:t>
            </w:r>
          </w:p>
        </w:tc>
        <w:tc>
          <w:tcPr>
            <w:tcW w:w="1680" w:type="dxa"/>
            <w:gridSpan w:val="4"/>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+5</w:t>
            </w: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448"/>
          <w:jc w:val="center"/>
        </w:trPr>
        <w:tc>
          <w:tcPr>
            <w:tcW w:w="615" w:type="dxa"/>
            <w:vMerge/>
            <w:vAlign w:val="center"/>
          </w:tcPr>
          <w:p w:rsidR="00820CB3" w:rsidRPr="00EE03DA" w:rsidRDefault="00820CB3" w:rsidP="00C15343">
            <w:pPr>
              <w:snapToGrid w:val="0"/>
              <w:jc w:val="center"/>
              <w:rPr>
                <w:rFonts w:ascii="仿宋" w:eastAsia="仿宋" w:hAnsi="仿宋" w:hint="eastAsia"/>
                <w:szCs w:val="21"/>
              </w:rPr>
            </w:pPr>
          </w:p>
        </w:tc>
        <w:tc>
          <w:tcPr>
            <w:tcW w:w="1540" w:type="dxa"/>
            <w:gridSpan w:val="2"/>
            <w:vMerge/>
            <w:vAlign w:val="center"/>
          </w:tcPr>
          <w:p w:rsidR="00820CB3" w:rsidRPr="00EE03DA" w:rsidRDefault="00820CB3" w:rsidP="00C15343">
            <w:pPr>
              <w:snapToGrid w:val="0"/>
              <w:jc w:val="center"/>
              <w:rPr>
                <w:rFonts w:ascii="仿宋" w:eastAsia="仿宋" w:hAnsi="仿宋" w:hint="eastAsia"/>
                <w:szCs w:val="21"/>
              </w:rPr>
            </w:pPr>
          </w:p>
        </w:tc>
        <w:tc>
          <w:tcPr>
            <w:tcW w:w="9380" w:type="dxa"/>
            <w:gridSpan w:val="2"/>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为学校提供实验室建设经费50万元以上或为本科学生提供奖学金超过10万元。</w:t>
            </w:r>
          </w:p>
        </w:tc>
        <w:tc>
          <w:tcPr>
            <w:tcW w:w="1680" w:type="dxa"/>
            <w:gridSpan w:val="4"/>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+5</w:t>
            </w:r>
          </w:p>
        </w:tc>
        <w:tc>
          <w:tcPr>
            <w:tcW w:w="960" w:type="dxa"/>
            <w:vAlign w:val="center"/>
          </w:tcPr>
          <w:p w:rsidR="00820CB3" w:rsidRPr="00EE03DA" w:rsidRDefault="00820CB3" w:rsidP="00C15343">
            <w:pPr>
              <w:jc w:val="center"/>
              <w:rPr>
                <w:rFonts w:ascii="仿宋" w:eastAsia="仿宋" w:hAnsi="仿宋" w:hint="eastAsia"/>
                <w:szCs w:val="21"/>
              </w:rPr>
            </w:pPr>
          </w:p>
        </w:tc>
      </w:tr>
      <w:tr w:rsidR="00820CB3" w:rsidRPr="00EE03DA" w:rsidTr="00C15343">
        <w:tblPrEx>
          <w:tblCellMar>
            <w:top w:w="0" w:type="dxa"/>
            <w:bottom w:w="0" w:type="dxa"/>
          </w:tblCellMar>
        </w:tblPrEx>
        <w:trPr>
          <w:cantSplit/>
          <w:trHeight w:val="448"/>
          <w:jc w:val="center"/>
        </w:trPr>
        <w:tc>
          <w:tcPr>
            <w:tcW w:w="615" w:type="dxa"/>
            <w:vMerge/>
            <w:vAlign w:val="center"/>
          </w:tcPr>
          <w:p w:rsidR="00820CB3" w:rsidRPr="00EE03DA" w:rsidRDefault="00820CB3" w:rsidP="00C15343">
            <w:pPr>
              <w:snapToGrid w:val="0"/>
              <w:jc w:val="center"/>
              <w:rPr>
                <w:rFonts w:ascii="仿宋" w:eastAsia="仿宋" w:hAnsi="仿宋" w:hint="eastAsia"/>
                <w:szCs w:val="21"/>
              </w:rPr>
            </w:pPr>
          </w:p>
        </w:tc>
        <w:tc>
          <w:tcPr>
            <w:tcW w:w="1540" w:type="dxa"/>
            <w:gridSpan w:val="2"/>
            <w:vMerge/>
            <w:vAlign w:val="center"/>
          </w:tcPr>
          <w:p w:rsidR="00820CB3" w:rsidRPr="00EE03DA" w:rsidRDefault="00820CB3" w:rsidP="00C15343">
            <w:pPr>
              <w:snapToGrid w:val="0"/>
              <w:jc w:val="center"/>
              <w:rPr>
                <w:rFonts w:ascii="仿宋" w:eastAsia="仿宋" w:hAnsi="仿宋" w:hint="eastAsia"/>
                <w:szCs w:val="21"/>
              </w:rPr>
            </w:pPr>
          </w:p>
        </w:tc>
        <w:tc>
          <w:tcPr>
            <w:tcW w:w="9380" w:type="dxa"/>
            <w:gridSpan w:val="2"/>
            <w:vAlign w:val="center"/>
          </w:tcPr>
          <w:p w:rsidR="00820CB3" w:rsidRPr="00EE03DA" w:rsidRDefault="00820CB3" w:rsidP="00C15343">
            <w:pPr>
              <w:rPr>
                <w:rFonts w:ascii="仿宋" w:eastAsia="仿宋" w:hAnsi="仿宋" w:hint="eastAsia"/>
                <w:szCs w:val="21"/>
              </w:rPr>
            </w:pPr>
            <w:r w:rsidRPr="00EE03DA">
              <w:rPr>
                <w:rFonts w:ascii="仿宋" w:eastAsia="仿宋" w:hAnsi="仿宋" w:hint="eastAsia"/>
                <w:szCs w:val="21"/>
              </w:rPr>
              <w:t>基地设计充分体现现代实习实训理念，通过与学校合作建设成为省级以上大学生实践教育或创新创业与就业基地。</w:t>
            </w:r>
          </w:p>
        </w:tc>
        <w:tc>
          <w:tcPr>
            <w:tcW w:w="1680" w:type="dxa"/>
            <w:gridSpan w:val="4"/>
            <w:vAlign w:val="center"/>
          </w:tcPr>
          <w:p w:rsidR="00820CB3" w:rsidRPr="00EE03DA" w:rsidRDefault="00820CB3" w:rsidP="00C15343">
            <w:pPr>
              <w:jc w:val="center"/>
              <w:rPr>
                <w:rFonts w:ascii="仿宋" w:eastAsia="仿宋" w:hAnsi="仿宋" w:hint="eastAsia"/>
                <w:szCs w:val="21"/>
              </w:rPr>
            </w:pPr>
            <w:r w:rsidRPr="00EE03DA">
              <w:rPr>
                <w:rFonts w:ascii="仿宋" w:eastAsia="仿宋" w:hAnsi="仿宋" w:hint="eastAsia"/>
                <w:szCs w:val="21"/>
              </w:rPr>
              <w:t>+10</w:t>
            </w:r>
          </w:p>
        </w:tc>
        <w:tc>
          <w:tcPr>
            <w:tcW w:w="960" w:type="dxa"/>
            <w:vAlign w:val="center"/>
          </w:tcPr>
          <w:p w:rsidR="00820CB3" w:rsidRPr="00EE03DA" w:rsidRDefault="00820CB3" w:rsidP="00C15343">
            <w:pPr>
              <w:jc w:val="center"/>
              <w:rPr>
                <w:rFonts w:ascii="仿宋" w:eastAsia="仿宋" w:hAnsi="仿宋" w:hint="eastAsia"/>
                <w:szCs w:val="21"/>
              </w:rPr>
            </w:pPr>
          </w:p>
        </w:tc>
      </w:tr>
    </w:tbl>
    <w:p w:rsidR="00820CB3" w:rsidRPr="008B5B36" w:rsidRDefault="00820CB3" w:rsidP="00820CB3">
      <w:pPr>
        <w:rPr>
          <w:rFonts w:ascii="仿宋_GB2312" w:eastAsia="仿宋_GB2312" w:hint="eastAsia"/>
          <w:szCs w:val="21"/>
        </w:rPr>
      </w:pPr>
      <w:r w:rsidRPr="008B5B36">
        <w:rPr>
          <w:rFonts w:ascii="仿宋_GB2312" w:eastAsia="仿宋_GB2312" w:hint="eastAsia"/>
          <w:szCs w:val="21"/>
        </w:rPr>
        <w:t>注：A—95分；B—80分；C—65分；D—50分。</w:t>
      </w:r>
    </w:p>
    <w:p w:rsidR="000A53E3" w:rsidRPr="00820CB3" w:rsidRDefault="000A53E3"/>
    <w:sectPr w:rsidR="000A53E3" w:rsidRPr="00820CB3" w:rsidSect="00820CB3">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E3" w:rsidRDefault="000A53E3" w:rsidP="00820CB3">
      <w:r>
        <w:separator/>
      </w:r>
    </w:p>
  </w:endnote>
  <w:endnote w:type="continuationSeparator" w:id="1">
    <w:p w:rsidR="000A53E3" w:rsidRDefault="000A53E3" w:rsidP="00820C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E3" w:rsidRDefault="000A53E3" w:rsidP="00820CB3">
      <w:r>
        <w:separator/>
      </w:r>
    </w:p>
  </w:footnote>
  <w:footnote w:type="continuationSeparator" w:id="1">
    <w:p w:rsidR="000A53E3" w:rsidRDefault="000A53E3" w:rsidP="00820C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CB3"/>
    <w:rsid w:val="000A53E3"/>
    <w:rsid w:val="00820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C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C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0CB3"/>
    <w:rPr>
      <w:sz w:val="18"/>
      <w:szCs w:val="18"/>
    </w:rPr>
  </w:style>
  <w:style w:type="paragraph" w:styleId="a4">
    <w:name w:val="footer"/>
    <w:basedOn w:val="a"/>
    <w:link w:val="Char0"/>
    <w:uiPriority w:val="99"/>
    <w:semiHidden/>
    <w:unhideWhenUsed/>
    <w:rsid w:val="00820C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0C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2477</Characters>
  <Application>Microsoft Office Word</Application>
  <DocSecurity>0</DocSecurity>
  <Lines>20</Lines>
  <Paragraphs>5</Paragraphs>
  <ScaleCrop>false</ScaleCrop>
  <Company>Hewlett-Packard Company</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ytryty</dc:creator>
  <cp:keywords/>
  <dc:description/>
  <cp:lastModifiedBy>ytryty</cp:lastModifiedBy>
  <cp:revision>2</cp:revision>
  <dcterms:created xsi:type="dcterms:W3CDTF">2015-12-17T07:55:00Z</dcterms:created>
  <dcterms:modified xsi:type="dcterms:W3CDTF">2015-12-17T07:56:00Z</dcterms:modified>
</cp:coreProperties>
</file>