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58"/>
        </w:rPr>
      </w:pPr>
      <w:r>
        <w:rPr>
          <w:rFonts w:hint="eastAsia"/>
          <w:b/>
          <w:bCs/>
          <w:sz w:val="58"/>
        </w:rPr>
        <w:t>山东农业大学教务处通知</w:t>
      </w:r>
    </w:p>
    <w:p>
      <w:pPr>
        <w:jc w:val="center"/>
        <w:rPr>
          <w:sz w:val="28"/>
          <w:szCs w:val="28"/>
        </w:rPr>
      </w:pPr>
      <w:r>
        <w:rPr>
          <w:rFonts w:hint="eastAsia"/>
          <w:sz w:val="28"/>
          <w:szCs w:val="28"/>
        </w:rPr>
        <w:t>教通字【2020】</w:t>
      </w:r>
      <w:r>
        <w:rPr>
          <w:sz w:val="28"/>
          <w:szCs w:val="28"/>
        </w:rPr>
        <w:t>31</w:t>
      </w:r>
      <w:r>
        <w:rPr>
          <w:rFonts w:hint="eastAsia"/>
          <w:sz w:val="28"/>
          <w:szCs w:val="28"/>
        </w:rPr>
        <w:t>号</w:t>
      </w:r>
    </w:p>
    <w:tbl>
      <w:tblPr>
        <w:tblStyle w:val="7"/>
        <w:tblW w:w="9174" w:type="dxa"/>
        <w:tblInd w:w="0" w:type="dxa"/>
        <w:tblBorders>
          <w:top w:val="thinThickSmallGap" w:color="auto" w:sz="24" w:space="0"/>
          <w:left w:val="thinThickSmallGap" w:color="auto" w:sz="24" w:space="0"/>
          <w:bottom w:val="thinThickSmallGap" w:color="auto" w:sz="24" w:space="0"/>
          <w:right w:val="thinThickSmallGap" w:color="auto" w:sz="24" w:space="0"/>
          <w:insideH w:val="thinThickSmallGap" w:color="auto" w:sz="24" w:space="0"/>
          <w:insideV w:val="thinThickSmallGap" w:color="auto" w:sz="24" w:space="0"/>
        </w:tblBorders>
        <w:tblLayout w:type="fixed"/>
        <w:tblCellMar>
          <w:top w:w="0" w:type="dxa"/>
          <w:left w:w="108" w:type="dxa"/>
          <w:bottom w:w="0" w:type="dxa"/>
          <w:right w:w="108" w:type="dxa"/>
        </w:tblCellMar>
      </w:tblPr>
      <w:tblGrid>
        <w:gridCol w:w="9174"/>
      </w:tblGrid>
      <w:tr>
        <w:tblPrEx>
          <w:tblBorders>
            <w:top w:val="thinThickSmallGap" w:color="auto" w:sz="24" w:space="0"/>
            <w:left w:val="thinThickSmallGap" w:color="auto" w:sz="24" w:space="0"/>
            <w:bottom w:val="thinThickSmallGap" w:color="auto" w:sz="24" w:space="0"/>
            <w:right w:val="thinThickSmallGap" w:color="auto" w:sz="24" w:space="0"/>
            <w:insideH w:val="thinThickSmallGap" w:color="auto" w:sz="24" w:space="0"/>
            <w:insideV w:val="thinThickSmallGap" w:color="auto" w:sz="24" w:space="0"/>
          </w:tblBorders>
        </w:tblPrEx>
        <w:trPr>
          <w:trHeight w:val="369" w:hRule="atLeast"/>
        </w:trPr>
        <w:tc>
          <w:tcPr>
            <w:tcW w:w="9174" w:type="dxa"/>
            <w:tcBorders>
              <w:left w:val="nil"/>
              <w:bottom w:val="nil"/>
              <w:right w:val="nil"/>
            </w:tcBorders>
          </w:tcPr>
          <w:p>
            <w:pPr>
              <w:spacing w:line="320" w:lineRule="exact"/>
              <w:rPr>
                <w:rFonts w:ascii="宋体" w:hAnsi="宋体"/>
                <w:b/>
                <w:sz w:val="44"/>
                <w:szCs w:val="44"/>
              </w:rPr>
            </w:pPr>
          </w:p>
        </w:tc>
      </w:tr>
    </w:tbl>
    <w:p>
      <w:pPr>
        <w:autoSpaceDE w:val="0"/>
        <w:autoSpaceDN w:val="0"/>
        <w:adjustRightInd w:val="0"/>
        <w:spacing w:line="500" w:lineRule="exact"/>
        <w:jc w:val="center"/>
        <w:rPr>
          <w:rFonts w:cs="宋体" w:asciiTheme="majorEastAsia" w:hAnsiTheme="majorEastAsia" w:eastAsiaTheme="majorEastAsia"/>
          <w:b/>
          <w:kern w:val="0"/>
          <w:sz w:val="44"/>
          <w:szCs w:val="44"/>
          <w:lang w:val="zh-CN"/>
        </w:rPr>
      </w:pPr>
    </w:p>
    <w:p>
      <w:pPr>
        <w:autoSpaceDE w:val="0"/>
        <w:autoSpaceDN w:val="0"/>
        <w:adjustRightInd w:val="0"/>
        <w:spacing w:line="560" w:lineRule="exact"/>
        <w:jc w:val="center"/>
        <w:rPr>
          <w:rFonts w:cs="宋体" w:asciiTheme="majorEastAsia" w:hAnsiTheme="majorEastAsia" w:eastAsiaTheme="majorEastAsia"/>
          <w:b/>
          <w:kern w:val="0"/>
          <w:sz w:val="44"/>
          <w:szCs w:val="44"/>
          <w:lang w:val="zh-CN"/>
        </w:rPr>
      </w:pPr>
      <w:r>
        <w:rPr>
          <w:rFonts w:hint="eastAsia" w:cs="宋体" w:asciiTheme="majorEastAsia" w:hAnsiTheme="majorEastAsia" w:eastAsiaTheme="majorEastAsia"/>
          <w:b/>
          <w:kern w:val="0"/>
          <w:sz w:val="44"/>
          <w:szCs w:val="44"/>
          <w:lang w:val="zh-CN"/>
        </w:rPr>
        <w:t>关于</w:t>
      </w:r>
      <w:r>
        <w:rPr>
          <w:rFonts w:cs="Calibri" w:asciiTheme="majorEastAsia" w:hAnsiTheme="majorEastAsia" w:eastAsiaTheme="majorEastAsia"/>
          <w:b/>
          <w:kern w:val="0"/>
          <w:sz w:val="44"/>
          <w:szCs w:val="44"/>
        </w:rPr>
        <w:t>20</w:t>
      </w:r>
      <w:r>
        <w:rPr>
          <w:rFonts w:hint="eastAsia" w:cs="Calibri" w:asciiTheme="majorEastAsia" w:hAnsiTheme="majorEastAsia" w:eastAsiaTheme="majorEastAsia"/>
          <w:b/>
          <w:kern w:val="0"/>
          <w:sz w:val="44"/>
          <w:szCs w:val="44"/>
        </w:rPr>
        <w:t>20</w:t>
      </w:r>
      <w:r>
        <w:rPr>
          <w:rFonts w:cs="Calibri" w:asciiTheme="majorEastAsia" w:hAnsiTheme="majorEastAsia" w:eastAsiaTheme="majorEastAsia"/>
          <w:b/>
          <w:kern w:val="0"/>
          <w:sz w:val="44"/>
          <w:szCs w:val="44"/>
        </w:rPr>
        <w:t>-20</w:t>
      </w:r>
      <w:r>
        <w:rPr>
          <w:rFonts w:hint="eastAsia" w:cs="Calibri" w:asciiTheme="majorEastAsia" w:hAnsiTheme="majorEastAsia" w:eastAsiaTheme="majorEastAsia"/>
          <w:b/>
          <w:kern w:val="0"/>
          <w:sz w:val="44"/>
          <w:szCs w:val="44"/>
        </w:rPr>
        <w:t>21</w:t>
      </w:r>
      <w:r>
        <w:rPr>
          <w:rFonts w:hint="eastAsia" w:cs="宋体" w:asciiTheme="majorEastAsia" w:hAnsiTheme="majorEastAsia" w:eastAsiaTheme="majorEastAsia"/>
          <w:b/>
          <w:kern w:val="0"/>
          <w:sz w:val="44"/>
          <w:szCs w:val="44"/>
          <w:lang w:val="zh-CN"/>
        </w:rPr>
        <w:t>学年第一学期</w:t>
      </w:r>
    </w:p>
    <w:p>
      <w:pPr>
        <w:autoSpaceDE w:val="0"/>
        <w:autoSpaceDN w:val="0"/>
        <w:adjustRightInd w:val="0"/>
        <w:spacing w:after="156" w:afterLines="50" w:line="560" w:lineRule="exact"/>
        <w:jc w:val="center"/>
        <w:rPr>
          <w:rFonts w:cs="宋体" w:asciiTheme="majorEastAsia" w:hAnsiTheme="majorEastAsia" w:eastAsiaTheme="majorEastAsia"/>
          <w:b/>
          <w:kern w:val="0"/>
          <w:sz w:val="44"/>
          <w:szCs w:val="44"/>
          <w:lang w:val="zh-CN"/>
        </w:rPr>
      </w:pPr>
      <w:r>
        <w:rPr>
          <w:rFonts w:hint="eastAsia" w:cs="宋体" w:asciiTheme="majorEastAsia" w:hAnsiTheme="majorEastAsia" w:eastAsiaTheme="majorEastAsia"/>
          <w:b/>
          <w:kern w:val="0"/>
          <w:sz w:val="44"/>
          <w:szCs w:val="44"/>
          <w:lang w:val="zh-CN"/>
        </w:rPr>
        <w:t>学生选课工作的通知</w:t>
      </w:r>
    </w:p>
    <w:p>
      <w:pPr>
        <w:pStyle w:val="6"/>
        <w:spacing w:before="0" w:beforeAutospacing="0" w:after="0" w:afterAutospacing="0" w:line="560" w:lineRule="exact"/>
        <w:jc w:val="both"/>
        <w:rPr>
          <w:rFonts w:ascii="仿宋_GB2312" w:hAnsi="黑体" w:eastAsia="仿宋_GB2312"/>
          <w:sz w:val="32"/>
          <w:szCs w:val="32"/>
        </w:rPr>
      </w:pPr>
      <w:r>
        <w:rPr>
          <w:rFonts w:hint="eastAsia" w:ascii="仿宋_GB2312" w:hAnsi="黑体" w:eastAsia="仿宋_GB2312"/>
          <w:sz w:val="32"/>
          <w:szCs w:val="32"/>
        </w:rPr>
        <w:t>各有关单位：</w:t>
      </w:r>
    </w:p>
    <w:p>
      <w:pPr>
        <w:pStyle w:val="6"/>
        <w:spacing w:before="0" w:beforeAutospacing="0" w:after="0" w:afterAutospacing="0" w:line="560" w:lineRule="exact"/>
        <w:ind w:firstLine="600"/>
        <w:jc w:val="both"/>
        <w:rPr>
          <w:rFonts w:ascii="仿宋_GB2312" w:hAnsi="仿宋" w:eastAsia="仿宋_GB2312"/>
          <w:sz w:val="32"/>
          <w:szCs w:val="32"/>
        </w:rPr>
      </w:pPr>
      <w:r>
        <w:rPr>
          <w:rFonts w:hint="eastAsia" w:ascii="仿宋_GB2312" w:hAnsi="仿宋" w:eastAsia="仿宋_GB2312"/>
          <w:sz w:val="32"/>
          <w:szCs w:val="32"/>
        </w:rPr>
        <w:t>2020-2021学年第一学期学生选课工作的预选阶段将于2020年9月2日开始至9月11日结束，补退选阶段将于2020年9月16日开始至9月23日结束，不及格重修报名时间将在补缓考考试成绩提交后另行通知。为确保选课工作顺利进行，现将有关事项通知如下：</w:t>
      </w:r>
    </w:p>
    <w:p>
      <w:pPr>
        <w:pStyle w:val="6"/>
        <w:spacing w:before="0" w:beforeAutospacing="0" w:after="0" w:afterAutospacing="0" w:line="580" w:lineRule="exact"/>
        <w:ind w:firstLine="600"/>
        <w:jc w:val="both"/>
        <w:rPr>
          <w:rFonts w:ascii="黑体" w:hAnsi="黑体" w:eastAsia="黑体"/>
          <w:sz w:val="32"/>
          <w:szCs w:val="32"/>
        </w:rPr>
      </w:pPr>
      <w:r>
        <w:rPr>
          <w:rFonts w:hint="eastAsia" w:ascii="黑体" w:hAnsi="黑体" w:eastAsia="黑体"/>
          <w:sz w:val="32"/>
          <w:szCs w:val="32"/>
        </w:rPr>
        <w:t>一、参加网上选课的学生范围</w:t>
      </w:r>
    </w:p>
    <w:p>
      <w:pPr>
        <w:pStyle w:val="6"/>
        <w:spacing w:before="0" w:beforeAutospacing="0" w:after="0" w:afterAutospacing="0" w:line="580" w:lineRule="exact"/>
        <w:ind w:firstLine="600"/>
        <w:jc w:val="both"/>
        <w:rPr>
          <w:rFonts w:ascii="仿宋_GB2312" w:hAnsi="仿宋" w:eastAsia="仿宋_GB2312"/>
          <w:sz w:val="32"/>
          <w:szCs w:val="32"/>
        </w:rPr>
      </w:pPr>
      <w:r>
        <w:rPr>
          <w:rFonts w:hint="eastAsia" w:ascii="仿宋_GB2312" w:hAnsi="仿宋" w:eastAsia="仿宋_GB2312"/>
          <w:sz w:val="32"/>
          <w:szCs w:val="32"/>
        </w:rPr>
        <w:t>全体在校本科学生。</w:t>
      </w:r>
    </w:p>
    <w:p>
      <w:pPr>
        <w:pStyle w:val="6"/>
        <w:spacing w:before="0" w:beforeAutospacing="0" w:after="0" w:afterAutospacing="0" w:line="580" w:lineRule="exact"/>
        <w:ind w:firstLine="600"/>
        <w:jc w:val="both"/>
        <w:rPr>
          <w:rFonts w:ascii="黑体" w:hAnsi="黑体" w:eastAsia="黑体"/>
          <w:sz w:val="32"/>
          <w:szCs w:val="32"/>
        </w:rPr>
      </w:pPr>
      <w:r>
        <w:rPr>
          <w:rFonts w:hint="eastAsia" w:ascii="黑体" w:hAnsi="黑体" w:eastAsia="黑体"/>
          <w:sz w:val="32"/>
          <w:szCs w:val="32"/>
        </w:rPr>
        <w:t>二、选课组织管理</w:t>
      </w:r>
    </w:p>
    <w:p>
      <w:pPr>
        <w:pStyle w:val="6"/>
        <w:spacing w:before="0" w:beforeAutospacing="0" w:after="0" w:afterAutospacing="0" w:line="580" w:lineRule="exact"/>
        <w:ind w:firstLine="600"/>
        <w:jc w:val="both"/>
        <w:rPr>
          <w:rFonts w:ascii="仿宋_GB2312" w:hAnsi="仿宋" w:eastAsia="仿宋_GB2312"/>
          <w:sz w:val="32"/>
          <w:szCs w:val="32"/>
        </w:rPr>
      </w:pPr>
      <w:r>
        <w:rPr>
          <w:rFonts w:hint="eastAsia" w:ascii="仿宋_GB2312" w:hAnsi="仿宋" w:eastAsia="仿宋_GB2312"/>
          <w:sz w:val="32"/>
          <w:szCs w:val="32"/>
        </w:rPr>
        <w:t>（一）选课组织管理工作以学院为主。各学院要加强对学生选课的组织与指导，结合专业人才培养方案和相关学籍管理规定，分专业做好选课前培训工作，使每位学生都详细了解选课时间安排、流程和具体要求，指导学生合理规划学业，避免盲目选课。</w:t>
      </w:r>
    </w:p>
    <w:p>
      <w:pPr>
        <w:pStyle w:val="6"/>
        <w:spacing w:before="0" w:beforeAutospacing="0" w:after="0" w:afterAutospacing="0" w:line="580" w:lineRule="exact"/>
        <w:ind w:firstLine="600"/>
        <w:jc w:val="both"/>
        <w:rPr>
          <w:rFonts w:ascii="仿宋_GB2312" w:hAnsi="仿宋" w:eastAsia="仿宋_GB2312"/>
          <w:sz w:val="32"/>
          <w:szCs w:val="32"/>
        </w:rPr>
      </w:pPr>
      <w:r>
        <w:rPr>
          <w:rFonts w:hint="eastAsia" w:ascii="仿宋_GB2312" w:hAnsi="仿宋" w:eastAsia="仿宋_GB2312"/>
          <w:sz w:val="32"/>
          <w:szCs w:val="32"/>
        </w:rPr>
        <w:t>（二）本次选课继续使用</w:t>
      </w:r>
      <w:r>
        <w:rPr>
          <w:rFonts w:ascii="仿宋_GB2312" w:hAnsi="仿宋" w:eastAsia="仿宋_GB2312"/>
          <w:sz w:val="32"/>
          <w:szCs w:val="32"/>
        </w:rPr>
        <w:t>正方</w:t>
      </w:r>
      <w:r>
        <w:rPr>
          <w:rFonts w:hint="eastAsia" w:ascii="仿宋_GB2312" w:hAnsi="仿宋" w:eastAsia="仿宋_GB2312"/>
          <w:sz w:val="32"/>
          <w:szCs w:val="32"/>
        </w:rPr>
        <w:t>综合教务系统，不做网络访问限制，学生可以利用任何电脑或者手机设备进入学校主页-“选课系统”或者教务处主页-“教务系统、教学平台”进行选课操作。为保证选课工作的顺利进行，在预选、补退选阶段，北、南两个校区图书馆的电子阅览室将关闭外网</w:t>
      </w:r>
      <w:r>
        <w:rPr>
          <w:rFonts w:ascii="仿宋_GB2312" w:hAnsi="仿宋" w:eastAsia="仿宋_GB2312"/>
          <w:sz w:val="32"/>
          <w:szCs w:val="32"/>
        </w:rPr>
        <w:t>，</w:t>
      </w:r>
      <w:r>
        <w:rPr>
          <w:rFonts w:hint="eastAsia" w:ascii="仿宋_GB2312" w:hAnsi="仿宋" w:eastAsia="仿宋_GB2312"/>
          <w:sz w:val="32"/>
          <w:szCs w:val="32"/>
        </w:rPr>
        <w:t>上机不收费，请遵守《图书馆关于2020年秋季学期开学开放</w:t>
      </w:r>
      <w:r>
        <w:rPr>
          <w:rFonts w:hint="eastAsia" w:ascii="仿宋_GB2312" w:hAnsi="仿宋" w:eastAsia="仿宋_GB2312"/>
          <w:sz w:val="32"/>
          <w:szCs w:val="32"/>
          <w:lang w:eastAsia="zh-CN"/>
        </w:rPr>
        <w:t>安排</w:t>
      </w:r>
      <w:r>
        <w:rPr>
          <w:rFonts w:hint="eastAsia" w:ascii="仿宋_GB2312" w:hAnsi="仿宋" w:eastAsia="仿宋_GB2312"/>
          <w:sz w:val="32"/>
          <w:szCs w:val="32"/>
        </w:rPr>
        <w:t>的通知》相关规定，详见http://library.sdau.edu.cn/category8/detail_4607.shtml。</w:t>
      </w:r>
    </w:p>
    <w:p>
      <w:pPr>
        <w:pStyle w:val="6"/>
        <w:spacing w:before="0" w:beforeAutospacing="0" w:after="0" w:afterAutospacing="0" w:line="560" w:lineRule="exact"/>
        <w:ind w:firstLine="600"/>
        <w:jc w:val="both"/>
        <w:rPr>
          <w:rFonts w:ascii="黑体" w:hAnsi="黑体" w:eastAsia="黑体"/>
          <w:sz w:val="32"/>
          <w:szCs w:val="32"/>
        </w:rPr>
      </w:pPr>
      <w:r>
        <w:rPr>
          <w:rFonts w:hint="eastAsia" w:ascii="黑体" w:hAnsi="黑体" w:eastAsia="黑体"/>
          <w:sz w:val="32"/>
          <w:szCs w:val="32"/>
        </w:rPr>
        <w:t>三、选课时间安排</w:t>
      </w:r>
    </w:p>
    <w:p>
      <w:pPr>
        <w:pStyle w:val="6"/>
        <w:spacing w:before="0" w:beforeAutospacing="0" w:after="0" w:afterAutospacing="0" w:line="560" w:lineRule="exact"/>
        <w:ind w:firstLine="600"/>
        <w:jc w:val="both"/>
        <w:rPr>
          <w:rFonts w:ascii="黑体" w:hAnsi="黑体" w:eastAsia="黑体"/>
          <w:sz w:val="32"/>
          <w:szCs w:val="32"/>
        </w:rPr>
      </w:pPr>
      <w:r>
        <w:rPr>
          <w:rFonts w:hint="eastAsia" w:ascii="仿宋_GB2312" w:hAnsi="仿宋" w:eastAsia="仿宋_GB2312"/>
          <w:sz w:val="32"/>
          <w:szCs w:val="32"/>
        </w:rPr>
        <w:t>预选阶段选课的结果与参加选课的先后顺序无关，请合理安排选课时间。预选后抽签优先级与学生年级成正比，即年级越高，抽中概率越高。</w:t>
      </w:r>
    </w:p>
    <w:tbl>
      <w:tblPr>
        <w:tblStyle w:val="7"/>
        <w:tblW w:w="8978"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75"/>
        <w:gridCol w:w="2205"/>
        <w:gridCol w:w="5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1475" w:type="dxa"/>
            <w:vAlign w:val="center"/>
          </w:tcPr>
          <w:p>
            <w:pPr>
              <w:widowControl/>
              <w:spacing w:line="560" w:lineRule="exact"/>
              <w:jc w:val="center"/>
              <w:rPr>
                <w:rFonts w:ascii="黑体" w:hAnsi="黑体" w:eastAsia="黑体" w:cs="宋体"/>
                <w:kern w:val="0"/>
                <w:sz w:val="28"/>
                <w:szCs w:val="32"/>
              </w:rPr>
            </w:pPr>
            <w:r>
              <w:rPr>
                <w:rFonts w:hint="eastAsia" w:ascii="黑体" w:hAnsi="黑体" w:eastAsia="黑体" w:cs="宋体"/>
                <w:kern w:val="0"/>
                <w:sz w:val="28"/>
                <w:szCs w:val="32"/>
              </w:rPr>
              <w:t>选课阶段</w:t>
            </w:r>
          </w:p>
        </w:tc>
        <w:tc>
          <w:tcPr>
            <w:tcW w:w="2205" w:type="dxa"/>
            <w:vAlign w:val="center"/>
          </w:tcPr>
          <w:p>
            <w:pPr>
              <w:widowControl/>
              <w:spacing w:line="560" w:lineRule="exact"/>
              <w:jc w:val="center"/>
              <w:rPr>
                <w:rFonts w:ascii="黑体" w:hAnsi="黑体" w:eastAsia="黑体" w:cs="宋体"/>
                <w:kern w:val="0"/>
                <w:sz w:val="28"/>
                <w:szCs w:val="32"/>
              </w:rPr>
            </w:pPr>
            <w:r>
              <w:rPr>
                <w:rFonts w:hint="eastAsia" w:ascii="黑体" w:hAnsi="黑体" w:eastAsia="黑体" w:cs="宋体"/>
                <w:kern w:val="0"/>
                <w:sz w:val="28"/>
                <w:szCs w:val="32"/>
              </w:rPr>
              <w:t>选课时间</w:t>
            </w:r>
          </w:p>
        </w:tc>
        <w:tc>
          <w:tcPr>
            <w:tcW w:w="5298" w:type="dxa"/>
            <w:vAlign w:val="center"/>
          </w:tcPr>
          <w:p>
            <w:pPr>
              <w:widowControl/>
              <w:spacing w:line="560" w:lineRule="exact"/>
              <w:jc w:val="center"/>
              <w:rPr>
                <w:rFonts w:ascii="黑体" w:hAnsi="黑体" w:eastAsia="黑体" w:cs="宋体"/>
                <w:kern w:val="0"/>
                <w:sz w:val="28"/>
                <w:szCs w:val="32"/>
              </w:rPr>
            </w:pPr>
            <w:r>
              <w:rPr>
                <w:rFonts w:hint="eastAsia" w:ascii="黑体" w:hAnsi="黑体" w:eastAsia="黑体" w:cs="宋体"/>
                <w:kern w:val="0"/>
                <w:sz w:val="28"/>
                <w:szCs w:val="32"/>
              </w:rPr>
              <w:t>特别提示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55" w:hRule="atLeast"/>
          <w:tblCellSpacing w:w="0" w:type="dxa"/>
          <w:jc w:val="center"/>
        </w:trPr>
        <w:tc>
          <w:tcPr>
            <w:tcW w:w="1475" w:type="dxa"/>
            <w:vAlign w:val="center"/>
          </w:tcPr>
          <w:p>
            <w:pPr>
              <w:pStyle w:val="6"/>
              <w:spacing w:before="0" w:beforeAutospacing="0" w:after="0" w:afterAutospacing="0" w:line="500" w:lineRule="exact"/>
              <w:jc w:val="center"/>
              <w:rPr>
                <w:rFonts w:ascii="仿宋_GB2312" w:hAnsi="仿宋" w:eastAsia="仿宋_GB2312"/>
                <w:sz w:val="30"/>
                <w:szCs w:val="30"/>
              </w:rPr>
            </w:pPr>
            <w:r>
              <w:rPr>
                <w:rFonts w:hint="eastAsia" w:ascii="仿宋_GB2312" w:hAnsi="仿宋" w:eastAsia="仿宋_GB2312"/>
                <w:sz w:val="30"/>
                <w:szCs w:val="30"/>
              </w:rPr>
              <w:t>第一轮</w:t>
            </w:r>
          </w:p>
          <w:p>
            <w:pPr>
              <w:pStyle w:val="6"/>
              <w:spacing w:before="0" w:beforeAutospacing="0" w:after="0" w:afterAutospacing="0" w:line="500" w:lineRule="exact"/>
              <w:jc w:val="center"/>
              <w:rPr>
                <w:rFonts w:ascii="仿宋_GB2312" w:hAnsi="仿宋" w:eastAsia="仿宋_GB2312"/>
                <w:sz w:val="30"/>
                <w:szCs w:val="30"/>
              </w:rPr>
            </w:pPr>
            <w:r>
              <w:rPr>
                <w:rFonts w:hint="eastAsia" w:ascii="仿宋_GB2312" w:hAnsi="仿宋" w:eastAsia="仿宋_GB2312"/>
                <w:sz w:val="30"/>
                <w:szCs w:val="30"/>
              </w:rPr>
              <w:t>预选</w:t>
            </w:r>
          </w:p>
          <w:p>
            <w:pPr>
              <w:pStyle w:val="6"/>
              <w:spacing w:before="0" w:beforeAutospacing="0" w:after="0" w:afterAutospacing="0" w:line="500" w:lineRule="exact"/>
              <w:jc w:val="center"/>
              <w:rPr>
                <w:rFonts w:ascii="仿宋_GB2312" w:hAnsi="仿宋" w:eastAsia="仿宋_GB2312"/>
                <w:sz w:val="30"/>
                <w:szCs w:val="30"/>
              </w:rPr>
            </w:pPr>
            <w:r>
              <w:rPr>
                <w:rFonts w:hint="eastAsia" w:ascii="仿宋_GB2312" w:hAnsi="仿宋" w:eastAsia="仿宋_GB2312"/>
                <w:sz w:val="30"/>
                <w:szCs w:val="30"/>
              </w:rPr>
              <w:t>（10天）</w:t>
            </w:r>
          </w:p>
        </w:tc>
        <w:tc>
          <w:tcPr>
            <w:tcW w:w="2205" w:type="dxa"/>
            <w:vAlign w:val="center"/>
          </w:tcPr>
          <w:p>
            <w:pPr>
              <w:pStyle w:val="6"/>
              <w:spacing w:before="0" w:beforeAutospacing="0" w:after="0" w:afterAutospacing="0" w:line="500" w:lineRule="exact"/>
              <w:ind w:firstLine="600"/>
              <w:jc w:val="both"/>
              <w:rPr>
                <w:rFonts w:ascii="仿宋_GB2312" w:hAnsi="仿宋" w:eastAsia="仿宋_GB2312"/>
                <w:sz w:val="30"/>
                <w:szCs w:val="30"/>
              </w:rPr>
            </w:pPr>
            <w:r>
              <w:rPr>
                <w:rFonts w:hint="eastAsia" w:ascii="仿宋_GB2312" w:hAnsi="仿宋" w:eastAsia="仿宋_GB2312"/>
                <w:sz w:val="32"/>
                <w:szCs w:val="32"/>
              </w:rPr>
              <w:t>2020年9月2日</w:t>
            </w:r>
            <w:r>
              <w:rPr>
                <w:rFonts w:hint="eastAsia" w:ascii="仿宋_GB2312" w:hAnsi="仿宋" w:eastAsia="仿宋_GB2312"/>
                <w:sz w:val="30"/>
                <w:szCs w:val="30"/>
              </w:rPr>
              <w:t>14：00开始至2020年</w:t>
            </w:r>
            <w:r>
              <w:rPr>
                <w:rFonts w:hint="eastAsia" w:ascii="仿宋_GB2312" w:hAnsi="仿宋" w:eastAsia="仿宋_GB2312"/>
                <w:sz w:val="32"/>
                <w:szCs w:val="32"/>
              </w:rPr>
              <w:t>9月1</w:t>
            </w:r>
            <w:r>
              <w:rPr>
                <w:rFonts w:ascii="仿宋_GB2312" w:hAnsi="仿宋" w:eastAsia="仿宋_GB2312"/>
                <w:sz w:val="32"/>
                <w:szCs w:val="32"/>
              </w:rPr>
              <w:t>1</w:t>
            </w:r>
            <w:r>
              <w:rPr>
                <w:rFonts w:hint="eastAsia" w:ascii="仿宋_GB2312" w:hAnsi="仿宋" w:eastAsia="仿宋_GB2312"/>
                <w:sz w:val="32"/>
                <w:szCs w:val="32"/>
              </w:rPr>
              <w:t>日</w:t>
            </w:r>
            <w:r>
              <w:rPr>
                <w:rFonts w:hint="eastAsia" w:ascii="仿宋_GB2312" w:hAnsi="仿宋" w:eastAsia="仿宋_GB2312"/>
                <w:sz w:val="30"/>
                <w:szCs w:val="30"/>
              </w:rPr>
              <w:t>14:00结束</w:t>
            </w:r>
          </w:p>
        </w:tc>
        <w:tc>
          <w:tcPr>
            <w:tcW w:w="5298" w:type="dxa"/>
            <w:vAlign w:val="center"/>
          </w:tcPr>
          <w:p>
            <w:pPr>
              <w:pStyle w:val="6"/>
              <w:spacing w:before="0" w:beforeAutospacing="0" w:after="0" w:afterAutospacing="0" w:line="500" w:lineRule="exact"/>
              <w:ind w:firstLine="600"/>
              <w:jc w:val="both"/>
              <w:rPr>
                <w:rFonts w:ascii="仿宋_GB2312" w:hAnsi="仿宋" w:eastAsia="仿宋_GB2312"/>
                <w:sz w:val="30"/>
                <w:szCs w:val="30"/>
              </w:rPr>
            </w:pPr>
            <w:r>
              <w:rPr>
                <w:rFonts w:hint="eastAsia" w:ascii="仿宋_GB2312" w:hAnsi="仿宋" w:eastAsia="仿宋_GB2312"/>
                <w:sz w:val="30"/>
                <w:szCs w:val="30"/>
              </w:rPr>
              <w:t>根据培养方案，选定下学期课程（必修课和专业分流模块课程由教务处统一预置，无特殊情况不要调整）。此阶段所有选课课程均显示“待筛选”状态。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58" w:hRule="atLeast"/>
          <w:tblCellSpacing w:w="0" w:type="dxa"/>
          <w:jc w:val="center"/>
        </w:trPr>
        <w:tc>
          <w:tcPr>
            <w:tcW w:w="1475" w:type="dxa"/>
            <w:vAlign w:val="center"/>
          </w:tcPr>
          <w:p>
            <w:pPr>
              <w:pStyle w:val="6"/>
              <w:spacing w:before="0" w:beforeAutospacing="0" w:after="0" w:afterAutospacing="0" w:line="500" w:lineRule="exact"/>
              <w:jc w:val="center"/>
              <w:rPr>
                <w:rFonts w:ascii="仿宋_GB2312" w:hAnsi="仿宋" w:eastAsia="仿宋_GB2312"/>
                <w:sz w:val="30"/>
                <w:szCs w:val="30"/>
              </w:rPr>
            </w:pPr>
            <w:r>
              <w:rPr>
                <w:rFonts w:hint="eastAsia" w:ascii="仿宋_GB2312" w:hAnsi="仿宋" w:eastAsia="仿宋_GB2312"/>
                <w:sz w:val="30"/>
                <w:szCs w:val="30"/>
              </w:rPr>
              <w:t>第二轮</w:t>
            </w:r>
          </w:p>
          <w:p>
            <w:pPr>
              <w:pStyle w:val="6"/>
              <w:spacing w:before="0" w:beforeAutospacing="0" w:after="0" w:afterAutospacing="0" w:line="500" w:lineRule="exact"/>
              <w:jc w:val="center"/>
              <w:rPr>
                <w:rFonts w:ascii="仿宋_GB2312" w:hAnsi="仿宋" w:eastAsia="仿宋_GB2312"/>
                <w:sz w:val="30"/>
                <w:szCs w:val="30"/>
              </w:rPr>
            </w:pPr>
            <w:r>
              <w:rPr>
                <w:rFonts w:hint="eastAsia" w:ascii="仿宋_GB2312" w:hAnsi="仿宋" w:eastAsia="仿宋_GB2312"/>
                <w:sz w:val="30"/>
                <w:szCs w:val="30"/>
              </w:rPr>
              <w:t>补退选</w:t>
            </w:r>
          </w:p>
          <w:p>
            <w:pPr>
              <w:pStyle w:val="6"/>
              <w:spacing w:before="0" w:beforeAutospacing="0" w:after="0" w:afterAutospacing="0" w:line="500" w:lineRule="exact"/>
              <w:jc w:val="center"/>
              <w:rPr>
                <w:rFonts w:ascii="仿宋_GB2312" w:hAnsi="仿宋" w:eastAsia="仿宋_GB2312"/>
                <w:sz w:val="30"/>
                <w:szCs w:val="30"/>
              </w:rPr>
            </w:pPr>
            <w:r>
              <w:rPr>
                <w:rFonts w:hint="eastAsia" w:ascii="仿宋_GB2312" w:hAnsi="仿宋" w:eastAsia="仿宋_GB2312"/>
                <w:sz w:val="30"/>
                <w:szCs w:val="30"/>
              </w:rPr>
              <w:t>（8天）</w:t>
            </w:r>
          </w:p>
        </w:tc>
        <w:tc>
          <w:tcPr>
            <w:tcW w:w="2205" w:type="dxa"/>
            <w:vAlign w:val="center"/>
          </w:tcPr>
          <w:p>
            <w:pPr>
              <w:pStyle w:val="6"/>
              <w:spacing w:before="0" w:beforeAutospacing="0" w:after="0" w:afterAutospacing="0" w:line="500" w:lineRule="exact"/>
              <w:ind w:firstLine="600"/>
              <w:jc w:val="both"/>
              <w:rPr>
                <w:rFonts w:ascii="仿宋_GB2312" w:hAnsi="仿宋" w:eastAsia="仿宋_GB2312"/>
                <w:sz w:val="30"/>
                <w:szCs w:val="30"/>
              </w:rPr>
            </w:pPr>
            <w:r>
              <w:rPr>
                <w:rFonts w:hint="eastAsia" w:ascii="仿宋_GB2312" w:hAnsi="仿宋" w:eastAsia="仿宋_GB2312"/>
                <w:sz w:val="30"/>
                <w:szCs w:val="30"/>
              </w:rPr>
              <w:t>2020年</w:t>
            </w:r>
            <w:r>
              <w:rPr>
                <w:rFonts w:hint="eastAsia" w:ascii="仿宋_GB2312" w:hAnsi="仿宋" w:eastAsia="仿宋_GB2312"/>
                <w:sz w:val="32"/>
                <w:szCs w:val="32"/>
              </w:rPr>
              <w:t>9月16日</w:t>
            </w:r>
            <w:r>
              <w:rPr>
                <w:rFonts w:hint="eastAsia" w:ascii="仿宋_GB2312" w:hAnsi="仿宋" w:eastAsia="仿宋_GB2312"/>
                <w:sz w:val="30"/>
                <w:szCs w:val="30"/>
              </w:rPr>
              <w:t>上午10:00开始至</w:t>
            </w:r>
            <w:r>
              <w:rPr>
                <w:rFonts w:hint="eastAsia" w:ascii="仿宋_GB2312" w:hAnsi="仿宋" w:eastAsia="仿宋_GB2312"/>
                <w:sz w:val="32"/>
                <w:szCs w:val="32"/>
              </w:rPr>
              <w:t>9月23日</w:t>
            </w:r>
            <w:r>
              <w:rPr>
                <w:rFonts w:hint="eastAsia" w:ascii="仿宋_GB2312" w:hAnsi="仿宋" w:eastAsia="仿宋_GB2312"/>
                <w:sz w:val="30"/>
                <w:szCs w:val="30"/>
              </w:rPr>
              <w:t>上午10：00结束</w:t>
            </w:r>
          </w:p>
        </w:tc>
        <w:tc>
          <w:tcPr>
            <w:tcW w:w="5298" w:type="dxa"/>
            <w:vAlign w:val="center"/>
          </w:tcPr>
          <w:p>
            <w:pPr>
              <w:pStyle w:val="6"/>
              <w:spacing w:before="0" w:beforeAutospacing="0" w:after="0" w:afterAutospacing="0" w:line="500" w:lineRule="exact"/>
              <w:ind w:firstLine="600"/>
              <w:jc w:val="both"/>
              <w:rPr>
                <w:rFonts w:ascii="仿宋_GB2312" w:hAnsi="仿宋" w:eastAsia="仿宋_GB2312"/>
                <w:sz w:val="30"/>
                <w:szCs w:val="30"/>
              </w:rPr>
            </w:pPr>
            <w:r>
              <w:rPr>
                <w:rFonts w:hint="eastAsia" w:ascii="仿宋_GB2312" w:hAnsi="仿宋" w:eastAsia="仿宋_GB2312"/>
                <w:sz w:val="30"/>
                <w:szCs w:val="30"/>
              </w:rPr>
              <w:t>对于“预选人数 ≤ 课容量”的课程，说明已选中课程，不需要抽签；</w:t>
            </w:r>
          </w:p>
          <w:p>
            <w:pPr>
              <w:pStyle w:val="6"/>
              <w:spacing w:before="0" w:beforeAutospacing="0" w:after="0" w:afterAutospacing="0" w:line="500" w:lineRule="exact"/>
              <w:ind w:firstLine="600"/>
              <w:jc w:val="both"/>
              <w:rPr>
                <w:rFonts w:ascii="仿宋_GB2312" w:hAnsi="仿宋" w:eastAsia="仿宋_GB2312"/>
                <w:sz w:val="30"/>
                <w:szCs w:val="30"/>
              </w:rPr>
            </w:pPr>
            <w:r>
              <w:rPr>
                <w:rFonts w:hint="eastAsia" w:ascii="仿宋_GB2312" w:hAnsi="仿宋" w:eastAsia="仿宋_GB2312"/>
                <w:sz w:val="30"/>
                <w:szCs w:val="30"/>
              </w:rPr>
              <w:t>对于“预选人</w:t>
            </w:r>
            <w:bookmarkStart w:id="0" w:name="_GoBack"/>
            <w:bookmarkEnd w:id="0"/>
            <w:r>
              <w:rPr>
                <w:rFonts w:hint="eastAsia" w:ascii="仿宋_GB2312" w:hAnsi="仿宋" w:eastAsia="仿宋_GB2312"/>
                <w:sz w:val="30"/>
                <w:szCs w:val="30"/>
              </w:rPr>
              <w:t>数 &gt; 课容量”的课程（含个别必修课），系统将自动完成抽签操作，可直接查看选课结果，选中即显示“已选中”，未选中则自动从选课结果中消失。</w:t>
            </w:r>
          </w:p>
          <w:p>
            <w:pPr>
              <w:pStyle w:val="6"/>
              <w:spacing w:before="0" w:beforeAutospacing="0" w:after="0" w:afterAutospacing="0" w:line="500" w:lineRule="exact"/>
              <w:ind w:firstLine="600"/>
              <w:jc w:val="both"/>
              <w:rPr>
                <w:rFonts w:ascii="仿宋_GB2312" w:hAnsi="仿宋" w:eastAsia="仿宋_GB2312"/>
                <w:b/>
                <w:sz w:val="30"/>
                <w:szCs w:val="30"/>
              </w:rPr>
            </w:pPr>
            <w:r>
              <w:rPr>
                <w:rFonts w:hint="eastAsia" w:ascii="仿宋_GB2312" w:hAnsi="仿宋" w:eastAsia="仿宋_GB2312"/>
                <w:b/>
                <w:sz w:val="32"/>
                <w:szCs w:val="32"/>
              </w:rPr>
              <w:t>9月16日</w:t>
            </w:r>
            <w:r>
              <w:rPr>
                <w:rFonts w:hint="eastAsia" w:ascii="仿宋_GB2312" w:hAnsi="仿宋" w:eastAsia="仿宋_GB2312"/>
                <w:b/>
                <w:sz w:val="30"/>
                <w:szCs w:val="30"/>
              </w:rPr>
              <w:t>上午10:00-</w:t>
            </w:r>
            <w:r>
              <w:rPr>
                <w:rFonts w:hint="eastAsia" w:ascii="仿宋_GB2312" w:hAnsi="仿宋" w:eastAsia="仿宋_GB2312"/>
                <w:b/>
                <w:sz w:val="32"/>
                <w:szCs w:val="32"/>
              </w:rPr>
              <w:t>9月20日</w:t>
            </w:r>
            <w:r>
              <w:rPr>
                <w:rFonts w:hint="eastAsia" w:ascii="仿宋_GB2312" w:hAnsi="仿宋" w:eastAsia="仿宋_GB2312"/>
                <w:b/>
                <w:sz w:val="30"/>
                <w:szCs w:val="30"/>
              </w:rPr>
              <w:t>上午10：00进行退选，即仅可进行课程删除（请务必按时删除有关课程）；9月20日下午16:00-9月23日上午9：00进行补选，即仅可增选课程，不允许课程删除。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30" w:hRule="atLeast"/>
          <w:tblCellSpacing w:w="0" w:type="dxa"/>
          <w:jc w:val="center"/>
        </w:trPr>
        <w:tc>
          <w:tcPr>
            <w:tcW w:w="1475" w:type="dxa"/>
            <w:vAlign w:val="center"/>
          </w:tcPr>
          <w:p>
            <w:pPr>
              <w:pStyle w:val="6"/>
              <w:spacing w:before="0" w:beforeAutospacing="0" w:after="0" w:afterAutospacing="0" w:line="500" w:lineRule="exact"/>
              <w:jc w:val="center"/>
              <w:rPr>
                <w:rFonts w:ascii="仿宋_GB2312" w:hAnsi="仿宋" w:eastAsia="仿宋_GB2312"/>
                <w:sz w:val="30"/>
                <w:szCs w:val="30"/>
              </w:rPr>
            </w:pPr>
            <w:r>
              <w:rPr>
                <w:rFonts w:hint="eastAsia" w:ascii="仿宋_GB2312" w:hAnsi="仿宋" w:eastAsia="仿宋_GB2312"/>
                <w:sz w:val="30"/>
                <w:szCs w:val="30"/>
              </w:rPr>
              <w:t>第三轮</w:t>
            </w:r>
          </w:p>
          <w:p>
            <w:pPr>
              <w:pStyle w:val="6"/>
              <w:spacing w:before="0" w:beforeAutospacing="0" w:after="0" w:afterAutospacing="0" w:line="500" w:lineRule="exact"/>
              <w:jc w:val="center"/>
              <w:rPr>
                <w:rFonts w:ascii="仿宋_GB2312" w:hAnsi="仿宋" w:eastAsia="仿宋_GB2312"/>
                <w:sz w:val="30"/>
                <w:szCs w:val="30"/>
              </w:rPr>
            </w:pPr>
            <w:r>
              <w:rPr>
                <w:rFonts w:hint="eastAsia" w:ascii="仿宋_GB2312" w:hAnsi="仿宋" w:eastAsia="仿宋_GB2312"/>
                <w:sz w:val="30"/>
                <w:szCs w:val="30"/>
              </w:rPr>
              <w:t>单开班重修课程报名</w:t>
            </w:r>
          </w:p>
        </w:tc>
        <w:tc>
          <w:tcPr>
            <w:tcW w:w="2205" w:type="dxa"/>
            <w:vAlign w:val="center"/>
          </w:tcPr>
          <w:p>
            <w:pPr>
              <w:pStyle w:val="6"/>
              <w:spacing w:before="0" w:beforeAutospacing="0" w:after="0" w:afterAutospacing="0" w:line="500" w:lineRule="exact"/>
              <w:ind w:firstLine="600"/>
              <w:jc w:val="both"/>
              <w:rPr>
                <w:rFonts w:ascii="仿宋_GB2312" w:hAnsi="仿宋" w:eastAsia="仿宋_GB2312"/>
                <w:sz w:val="30"/>
                <w:szCs w:val="30"/>
              </w:rPr>
            </w:pPr>
            <w:r>
              <w:rPr>
                <w:rFonts w:hint="eastAsia" w:ascii="仿宋_GB2312" w:hAnsi="仿宋" w:eastAsia="仿宋_GB2312"/>
                <w:sz w:val="30"/>
                <w:szCs w:val="30"/>
              </w:rPr>
              <w:t>补缓考考试成绩提交后另行通知</w:t>
            </w:r>
          </w:p>
        </w:tc>
        <w:tc>
          <w:tcPr>
            <w:tcW w:w="5298" w:type="dxa"/>
            <w:vAlign w:val="center"/>
          </w:tcPr>
          <w:p>
            <w:pPr>
              <w:pStyle w:val="6"/>
              <w:spacing w:before="0" w:beforeAutospacing="0" w:after="0" w:afterAutospacing="0" w:line="500" w:lineRule="exact"/>
              <w:ind w:firstLine="600"/>
              <w:jc w:val="both"/>
              <w:rPr>
                <w:rFonts w:ascii="仿宋_GB2312" w:hAnsi="仿宋" w:eastAsia="仿宋_GB2312"/>
                <w:sz w:val="30"/>
                <w:szCs w:val="30"/>
              </w:rPr>
            </w:pPr>
            <w:r>
              <w:rPr>
                <w:rFonts w:hint="eastAsia" w:ascii="仿宋_GB2312" w:hAnsi="仿宋" w:eastAsia="仿宋_GB2312"/>
                <w:sz w:val="30"/>
                <w:szCs w:val="30"/>
              </w:rPr>
              <w:t>需要不及格重修的同学可在重修报名界面进行单开班重修课程报名。</w:t>
            </w:r>
          </w:p>
        </w:tc>
      </w:tr>
    </w:tbl>
    <w:p>
      <w:pPr>
        <w:pStyle w:val="6"/>
        <w:spacing w:before="0" w:beforeAutospacing="0" w:after="0" w:afterAutospacing="0" w:line="560" w:lineRule="exact"/>
        <w:ind w:firstLine="600"/>
        <w:rPr>
          <w:rFonts w:ascii="黑体" w:hAnsi="黑体" w:eastAsia="黑体"/>
          <w:sz w:val="32"/>
          <w:szCs w:val="32"/>
        </w:rPr>
      </w:pPr>
      <w:r>
        <w:rPr>
          <w:rFonts w:hint="eastAsia" w:ascii="黑体" w:hAnsi="黑体" w:eastAsia="黑体"/>
          <w:sz w:val="32"/>
          <w:szCs w:val="32"/>
        </w:rPr>
        <w:t>四、选课注意事项</w:t>
      </w:r>
    </w:p>
    <w:p>
      <w:pPr>
        <w:pStyle w:val="6"/>
        <w:spacing w:before="0" w:beforeAutospacing="0" w:after="0" w:afterAutospacing="0" w:line="560" w:lineRule="exact"/>
        <w:ind w:firstLine="600"/>
        <w:jc w:val="both"/>
        <w:rPr>
          <w:rFonts w:ascii="仿宋_GB2312" w:hAnsi="仿宋" w:eastAsia="仿宋_GB2312"/>
          <w:sz w:val="32"/>
          <w:szCs w:val="32"/>
        </w:rPr>
      </w:pPr>
      <w:r>
        <w:rPr>
          <w:rFonts w:hint="eastAsia" w:ascii="仿宋_GB2312" w:hAnsi="仿宋" w:eastAsia="仿宋_GB2312"/>
          <w:sz w:val="32"/>
          <w:szCs w:val="32"/>
        </w:rPr>
        <w:t>（一）请各学院及时通知学生按时参加选课并加强指导，确保教学秩序稳定。</w:t>
      </w:r>
    </w:p>
    <w:p>
      <w:pPr>
        <w:pStyle w:val="6"/>
        <w:spacing w:before="0" w:beforeAutospacing="0" w:after="0" w:afterAutospacing="0" w:line="560" w:lineRule="exact"/>
        <w:ind w:firstLine="600"/>
        <w:jc w:val="both"/>
        <w:rPr>
          <w:rFonts w:ascii="仿宋_GB2312" w:hAnsi="仿宋" w:eastAsia="仿宋_GB2312"/>
          <w:sz w:val="32"/>
          <w:szCs w:val="32"/>
        </w:rPr>
      </w:pPr>
      <w:r>
        <w:rPr>
          <w:rFonts w:hint="eastAsia" w:ascii="仿宋_GB2312" w:hAnsi="仿宋" w:eastAsia="仿宋_GB2312"/>
          <w:sz w:val="32"/>
          <w:szCs w:val="32"/>
        </w:rPr>
        <w:t>（二）请同学们在选课期间随时关注教务处主页“选课公告”所发布的课程调整等相关信息，并及时调整自己的选课信息。如在选课期间遇到问题，请及时与本学院教学秘书老师联系。</w:t>
      </w:r>
    </w:p>
    <w:p>
      <w:pPr>
        <w:pStyle w:val="6"/>
        <w:spacing w:before="0" w:beforeAutospacing="0" w:after="0" w:afterAutospacing="0"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（三）学生应遵循量力而行和学分限制的原则进行选课。每学期课程总学分控制在25学分左右为宜，最高不得超过35学分。各年级学生在确定选修课时应分别注意以下问题：</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选修课编码规则为：第一位均为X，代表选修课；前二位分别代表不同模块的选修课。具体为：XJ代表计算机模块、XT代表体育模块、XY代表艺术审美模块、XC代表创新创业模块、XK代表专业交叉模块、XR代表人文社科模块、XZ代表自然科学模块、XF代表专业分流模块；XS106012大学生心理健康教育为心理健康教育模块课程。</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2018级、2019级学生至少选修XJ开头的课程4学分，XT、XY、XC、XK、XR、XZ开头的课程各2学分，心理健康模块课程2学分，XF开头的课程根据培养方案规定的学分进行选修。由于我校资源有限，已把XS106012大学生心理健康教育提前预置成必修课程，学生无须再选，也不可删除。</w:t>
      </w:r>
    </w:p>
    <w:p>
      <w:pPr>
        <w:pStyle w:val="6"/>
        <w:spacing w:before="0" w:beforeAutospacing="0" w:after="0" w:afterAutospacing="0" w:line="560" w:lineRule="exact"/>
        <w:ind w:firstLine="600"/>
        <w:jc w:val="both"/>
        <w:rPr>
          <w:rFonts w:ascii="仿宋_GB2312" w:hAnsi="仿宋" w:eastAsia="仿宋_GB2312"/>
          <w:sz w:val="32"/>
          <w:szCs w:val="32"/>
        </w:rPr>
      </w:pPr>
      <w:r>
        <w:rPr>
          <w:rFonts w:hint="eastAsia" w:ascii="仿宋_GB2312" w:hAnsi="仿宋" w:eastAsia="仿宋_GB2312"/>
          <w:sz w:val="32"/>
          <w:szCs w:val="32"/>
        </w:rPr>
        <w:t>2016级、2017级学生至少选修XJ开头的课程4学分，XT开头的2学分，XF开头的课程根据培养方案规定的学分进行选修。其他类别的课程可以任意选修，只要满足培养方案中要求的选修课的最低学分标准即可。</w:t>
      </w:r>
    </w:p>
    <w:p>
      <w:pPr>
        <w:pStyle w:val="6"/>
        <w:spacing w:before="0" w:beforeAutospacing="0" w:after="0" w:afterAutospacing="0" w:line="560" w:lineRule="exact"/>
        <w:ind w:firstLine="600"/>
        <w:jc w:val="both"/>
        <w:rPr>
          <w:rFonts w:ascii="仿宋_GB2312" w:hAnsi="仿宋" w:eastAsia="仿宋_GB2312"/>
          <w:sz w:val="32"/>
          <w:szCs w:val="32"/>
        </w:rPr>
      </w:pPr>
      <w:r>
        <w:rPr>
          <w:rFonts w:hint="eastAsia" w:ascii="仿宋_GB2312" w:hAnsi="仿宋" w:eastAsia="仿宋_GB2312"/>
          <w:sz w:val="32"/>
          <w:szCs w:val="32"/>
        </w:rPr>
        <w:t>（四）学生</w:t>
      </w:r>
      <w:r>
        <w:rPr>
          <w:rFonts w:ascii="仿宋_GB2312" w:hAnsi="仿宋" w:eastAsia="仿宋_GB2312"/>
          <w:sz w:val="32"/>
          <w:szCs w:val="32"/>
        </w:rPr>
        <w:t>在选课期间</w:t>
      </w:r>
      <w:r>
        <w:rPr>
          <w:rFonts w:hint="eastAsia" w:ascii="仿宋_GB2312" w:hAnsi="仿宋" w:eastAsia="仿宋_GB2312"/>
          <w:sz w:val="32"/>
          <w:szCs w:val="32"/>
        </w:rPr>
        <w:t>可在“通识选修课”选项卡选退通识选修课模块课程，在“板块课”选项卡选退普通体育课模块课程，在“体育分项”选项卡选退体育模块课程，外语学院学生在“板块课”选项卡选退二外课程，小语种学生在“特殊课程”选项卡选退小语种课程，齐鲁学堂学生在“其他特殊课程”选项卡选</w:t>
      </w:r>
      <w:r>
        <w:rPr>
          <w:rFonts w:ascii="仿宋_GB2312" w:hAnsi="仿宋" w:eastAsia="仿宋_GB2312"/>
          <w:sz w:val="32"/>
          <w:szCs w:val="32"/>
        </w:rPr>
        <w:t>退</w:t>
      </w:r>
      <w:r>
        <w:rPr>
          <w:rFonts w:hint="eastAsia" w:ascii="仿宋_GB2312" w:hAnsi="仿宋" w:eastAsia="仿宋_GB2312"/>
          <w:sz w:val="32"/>
          <w:szCs w:val="32"/>
        </w:rPr>
        <w:t>齐鲁学堂统一开设课程。</w:t>
      </w:r>
    </w:p>
    <w:p>
      <w:pPr>
        <w:pStyle w:val="6"/>
        <w:spacing w:before="0" w:beforeAutospacing="0" w:after="0" w:afterAutospacing="0" w:line="560" w:lineRule="exact"/>
        <w:ind w:firstLine="600"/>
        <w:jc w:val="both"/>
        <w:rPr>
          <w:rFonts w:ascii="仿宋_GB2312" w:hAnsi="仿宋" w:eastAsia="仿宋_GB2312"/>
          <w:sz w:val="32"/>
          <w:szCs w:val="32"/>
        </w:rPr>
      </w:pPr>
      <w:r>
        <w:rPr>
          <w:rFonts w:hint="eastAsia" w:ascii="仿宋_GB2312" w:hAnsi="仿宋" w:eastAsia="仿宋_GB2312"/>
          <w:sz w:val="32"/>
          <w:szCs w:val="32"/>
        </w:rPr>
        <w:t>（五）学生选课时务必要注意课程开设的校区，避免选择跨校区课程，导致学习困难。</w:t>
      </w:r>
    </w:p>
    <w:p>
      <w:pPr>
        <w:pStyle w:val="6"/>
        <w:spacing w:before="0" w:beforeAutospacing="0" w:after="0" w:afterAutospacing="0" w:line="560" w:lineRule="exact"/>
        <w:ind w:firstLine="600"/>
        <w:jc w:val="both"/>
        <w:rPr>
          <w:rFonts w:ascii="仿宋_GB2312" w:hAnsi="仿宋" w:eastAsia="仿宋_GB2312"/>
          <w:sz w:val="32"/>
          <w:szCs w:val="32"/>
        </w:rPr>
      </w:pPr>
      <w:r>
        <w:rPr>
          <w:rFonts w:hint="eastAsia" w:ascii="仿宋_GB2312" w:hAnsi="仿宋" w:eastAsia="仿宋_GB2312"/>
          <w:sz w:val="32"/>
          <w:szCs w:val="32"/>
        </w:rPr>
        <w:t>（六）本次不及格跟班重修将在下学期补缓考成绩提交后开始采用报名方式进行，重修课程根据预估不及格重修人数进行如下安排：对于不及格人数少于40人的课程，学校不再单独开设重修教学班，不及格学生在课程容量允许的情况下在“跟班重修”中报名；不及格人数超过40人，建议学院单独开设的教学班。</w:t>
      </w:r>
    </w:p>
    <w:p>
      <w:pPr>
        <w:pStyle w:val="6"/>
        <w:spacing w:before="0" w:beforeAutospacing="0" w:after="0" w:afterAutospacing="0" w:line="560" w:lineRule="exact"/>
        <w:ind w:firstLine="600"/>
        <w:jc w:val="both"/>
        <w:rPr>
          <w:rFonts w:ascii="仿宋_GB2312" w:hAnsi="仿宋" w:eastAsia="仿宋_GB2312"/>
          <w:sz w:val="32"/>
          <w:szCs w:val="32"/>
        </w:rPr>
      </w:pPr>
      <w:r>
        <w:rPr>
          <w:rFonts w:hint="eastAsia" w:ascii="仿宋_GB2312" w:hAnsi="仿宋" w:eastAsia="仿宋_GB2312"/>
          <w:sz w:val="32"/>
          <w:szCs w:val="32"/>
        </w:rPr>
        <w:t>（七）选课结果以选课系统中记录为准，学生应熟悉选课系统和操作办法，并及时核对、确认选课结果；不要私自到任课教师处报名上课，学生参加未选中课程的考试，该课程成绩无效。选课后不参加课程学习或考核者，该课程成绩记为零分并记入成绩档案。</w:t>
      </w:r>
    </w:p>
    <w:p>
      <w:pPr>
        <w:pStyle w:val="6"/>
        <w:spacing w:before="0" w:beforeAutospacing="0" w:after="0" w:afterAutospacing="0" w:line="560" w:lineRule="exact"/>
        <w:ind w:firstLine="600"/>
        <w:jc w:val="both"/>
        <w:rPr>
          <w:rFonts w:ascii="仿宋_GB2312" w:hAnsi="仿宋" w:eastAsia="仿宋_GB2312"/>
          <w:sz w:val="32"/>
          <w:szCs w:val="32"/>
        </w:rPr>
      </w:pPr>
      <w:r>
        <w:rPr>
          <w:rFonts w:hint="eastAsia" w:ascii="仿宋_GB2312" w:hAnsi="仿宋" w:eastAsia="仿宋_GB2312"/>
          <w:sz w:val="32"/>
          <w:szCs w:val="32"/>
        </w:rPr>
        <w:t>（八）选课工作结束后，选课人数不足40人的计算机模块、艺术审美模块、创新创业模块、专业交叉模块、人文社科模块、自然科学模块课程和选课人数不足20人的体育模块、专业分流模块课程将不再开设，由教务处负责从选课结果中删除此部分课程，情况特殊的计算机模块、体育模块和专业分流模块课程视具体情况而定。停开课程信息将于9月23日在教务处主页公布。</w:t>
      </w:r>
    </w:p>
    <w:p>
      <w:pPr>
        <w:pStyle w:val="6"/>
        <w:spacing w:before="0" w:beforeAutospacing="0" w:after="0" w:afterAutospacing="0" w:line="560" w:lineRule="exact"/>
        <w:ind w:firstLine="600"/>
        <w:jc w:val="both"/>
        <w:rPr>
          <w:rFonts w:ascii="仿宋_GB2312" w:hAnsi="仿宋" w:eastAsia="仿宋_GB2312"/>
          <w:sz w:val="32"/>
          <w:szCs w:val="32"/>
        </w:rPr>
      </w:pPr>
      <w:r>
        <w:rPr>
          <w:rFonts w:hint="eastAsia" w:ascii="仿宋_GB2312" w:hAnsi="仿宋" w:eastAsia="仿宋_GB2312"/>
          <w:sz w:val="32"/>
          <w:szCs w:val="32"/>
        </w:rPr>
        <w:t>（九）选课结束，学校公布最终选课结果后，届时请同学们务必认真核对自己的课表。</w:t>
      </w:r>
    </w:p>
    <w:p>
      <w:pPr>
        <w:pStyle w:val="6"/>
        <w:spacing w:before="0" w:beforeAutospacing="0" w:after="0" w:afterAutospacing="0" w:line="560" w:lineRule="exact"/>
        <w:ind w:firstLine="600"/>
        <w:jc w:val="both"/>
        <w:rPr>
          <w:rFonts w:ascii="仿宋_GB2312" w:hAnsi="仿宋" w:eastAsia="仿宋_GB2312"/>
          <w:sz w:val="32"/>
          <w:szCs w:val="32"/>
        </w:rPr>
      </w:pPr>
    </w:p>
    <w:p>
      <w:pPr>
        <w:widowControl/>
        <w:spacing w:line="560" w:lineRule="exact"/>
        <w:ind w:right="640" w:firstLine="640" w:firstLineChars="200"/>
        <w:jc w:val="center"/>
        <w:rPr>
          <w:rFonts w:ascii="仿宋_GB2312" w:hAnsi="仿宋" w:eastAsia="仿宋_GB2312" w:cs="宋体"/>
          <w:kern w:val="0"/>
          <w:sz w:val="32"/>
          <w:szCs w:val="32"/>
        </w:rPr>
      </w:pPr>
      <w:r>
        <w:rPr>
          <w:rFonts w:hint="eastAsia" w:ascii="仿宋_GB2312" w:hAnsi="仿宋" w:eastAsia="仿宋_GB2312" w:cs="宋体"/>
          <w:kern w:val="0"/>
          <w:sz w:val="32"/>
          <w:szCs w:val="32"/>
        </w:rPr>
        <w:t xml:space="preserve">                                       教务处</w:t>
      </w:r>
    </w:p>
    <w:p>
      <w:pPr>
        <w:widowControl/>
        <w:spacing w:line="560" w:lineRule="exact"/>
        <w:ind w:firstLine="640" w:firstLineChars="200"/>
        <w:jc w:val="right"/>
        <w:rPr>
          <w:rFonts w:ascii="仿宋_GB2312" w:hAnsi="仿宋" w:eastAsia="仿宋_GB2312" w:cs="宋体"/>
          <w:kern w:val="0"/>
          <w:sz w:val="32"/>
          <w:szCs w:val="32"/>
        </w:rPr>
      </w:pPr>
      <w:r>
        <w:rPr>
          <w:rFonts w:hint="eastAsia" w:ascii="仿宋_GB2312" w:hAnsi="仿宋" w:eastAsia="仿宋_GB2312" w:cs="宋体"/>
          <w:kern w:val="0"/>
          <w:sz w:val="32"/>
          <w:szCs w:val="32"/>
        </w:rPr>
        <w:t>2020年8月30日</w:t>
      </w:r>
    </w:p>
    <w:p>
      <w:pPr>
        <w:widowControl/>
        <w:spacing w:line="560" w:lineRule="exact"/>
        <w:ind w:firstLine="640" w:firstLineChars="200"/>
        <w:jc w:val="right"/>
        <w:rPr>
          <w:rFonts w:ascii="仿宋_GB2312" w:hAnsi="仿宋" w:eastAsia="仿宋_GB2312" w:cs="宋体"/>
          <w:kern w:val="0"/>
          <w:sz w:val="32"/>
          <w:szCs w:val="32"/>
        </w:rPr>
      </w:pPr>
    </w:p>
    <w:p>
      <w:pPr>
        <w:widowControl/>
        <w:spacing w:line="560" w:lineRule="exact"/>
        <w:ind w:firstLine="640" w:firstLineChars="200"/>
        <w:jc w:val="right"/>
        <w:rPr>
          <w:rFonts w:ascii="仿宋_GB2312" w:hAnsi="仿宋" w:eastAsia="仿宋_GB2312" w:cs="宋体"/>
          <w:kern w:val="0"/>
          <w:sz w:val="32"/>
          <w:szCs w:val="32"/>
        </w:rPr>
      </w:pPr>
    </w:p>
    <w:p>
      <w:pPr>
        <w:widowControl/>
        <w:spacing w:line="560" w:lineRule="exact"/>
        <w:ind w:firstLine="640" w:firstLineChars="200"/>
        <w:jc w:val="right"/>
        <w:rPr>
          <w:rFonts w:ascii="仿宋_GB2312" w:hAnsi="仿宋" w:eastAsia="仿宋_GB2312" w:cs="宋体"/>
          <w:kern w:val="0"/>
          <w:sz w:val="32"/>
          <w:szCs w:val="32"/>
        </w:rPr>
      </w:pPr>
    </w:p>
    <w:p>
      <w:pPr>
        <w:widowControl/>
        <w:spacing w:line="560" w:lineRule="exact"/>
        <w:ind w:firstLine="640" w:firstLineChars="200"/>
        <w:jc w:val="right"/>
        <w:rPr>
          <w:rFonts w:ascii="仿宋_GB2312" w:hAnsi="仿宋" w:eastAsia="仿宋_GB2312" w:cs="宋体"/>
          <w:kern w:val="0"/>
          <w:sz w:val="32"/>
          <w:szCs w:val="32"/>
        </w:rPr>
      </w:pPr>
    </w:p>
    <w:p>
      <w:pPr>
        <w:widowControl/>
        <w:spacing w:line="560" w:lineRule="exact"/>
        <w:ind w:firstLine="640" w:firstLineChars="200"/>
        <w:jc w:val="right"/>
        <w:rPr>
          <w:rFonts w:ascii="仿宋_GB2312" w:hAnsi="仿宋" w:eastAsia="仿宋_GB2312" w:cs="宋体"/>
          <w:kern w:val="0"/>
          <w:sz w:val="32"/>
          <w:szCs w:val="32"/>
        </w:rPr>
      </w:pPr>
    </w:p>
    <w:p>
      <w:pPr>
        <w:widowControl/>
        <w:spacing w:line="560" w:lineRule="exact"/>
        <w:ind w:firstLine="640" w:firstLineChars="200"/>
        <w:jc w:val="right"/>
        <w:rPr>
          <w:rFonts w:ascii="仿宋_GB2312" w:hAnsi="仿宋" w:eastAsia="仿宋_GB2312" w:cs="宋体"/>
          <w:kern w:val="0"/>
          <w:sz w:val="32"/>
          <w:szCs w:val="32"/>
        </w:rPr>
      </w:pPr>
    </w:p>
    <w:p>
      <w:pPr>
        <w:widowControl/>
        <w:spacing w:line="560" w:lineRule="exact"/>
        <w:ind w:firstLine="640" w:firstLineChars="200"/>
        <w:jc w:val="right"/>
        <w:rPr>
          <w:rFonts w:ascii="仿宋_GB2312" w:hAnsi="仿宋" w:eastAsia="仿宋_GB2312" w:cs="宋体"/>
          <w:kern w:val="0"/>
          <w:sz w:val="32"/>
          <w:szCs w:val="32"/>
        </w:rPr>
      </w:pPr>
    </w:p>
    <w:p>
      <w:pPr>
        <w:widowControl/>
        <w:spacing w:line="560" w:lineRule="exact"/>
        <w:ind w:firstLine="640" w:firstLineChars="200"/>
        <w:jc w:val="right"/>
        <w:rPr>
          <w:rFonts w:ascii="仿宋_GB2312" w:hAnsi="仿宋" w:eastAsia="仿宋_GB2312" w:cs="宋体"/>
          <w:kern w:val="0"/>
          <w:sz w:val="32"/>
          <w:szCs w:val="32"/>
        </w:rPr>
      </w:pPr>
    </w:p>
    <w:p>
      <w:pPr>
        <w:widowControl/>
        <w:spacing w:line="560" w:lineRule="exact"/>
        <w:ind w:firstLine="640" w:firstLineChars="200"/>
        <w:jc w:val="right"/>
        <w:rPr>
          <w:rFonts w:ascii="仿宋_GB2312" w:hAnsi="仿宋" w:eastAsia="仿宋_GB2312" w:cs="宋体"/>
          <w:kern w:val="0"/>
          <w:sz w:val="32"/>
          <w:szCs w:val="32"/>
        </w:rPr>
      </w:pPr>
    </w:p>
    <w:p>
      <w:pPr>
        <w:widowControl/>
        <w:spacing w:line="560" w:lineRule="exact"/>
        <w:ind w:firstLine="640" w:firstLineChars="200"/>
        <w:jc w:val="right"/>
        <w:rPr>
          <w:rFonts w:ascii="仿宋_GB2312" w:hAnsi="仿宋" w:eastAsia="仿宋_GB2312" w:cs="宋体"/>
          <w:kern w:val="0"/>
          <w:sz w:val="32"/>
          <w:szCs w:val="32"/>
        </w:rPr>
      </w:pPr>
    </w:p>
    <w:p>
      <w:pPr>
        <w:widowControl/>
        <w:spacing w:line="560" w:lineRule="exact"/>
        <w:ind w:firstLine="640" w:firstLineChars="200"/>
        <w:jc w:val="right"/>
        <w:rPr>
          <w:rFonts w:ascii="仿宋_GB2312" w:hAnsi="仿宋" w:eastAsia="仿宋_GB2312" w:cs="宋体"/>
          <w:kern w:val="0"/>
          <w:sz w:val="32"/>
          <w:szCs w:val="32"/>
        </w:rPr>
      </w:pPr>
    </w:p>
    <w:p>
      <w:pPr>
        <w:widowControl/>
        <w:spacing w:line="560" w:lineRule="exact"/>
        <w:ind w:firstLine="640" w:firstLineChars="200"/>
        <w:jc w:val="right"/>
        <w:rPr>
          <w:rFonts w:ascii="仿宋_GB2312" w:hAnsi="仿宋" w:eastAsia="仿宋_GB2312" w:cs="宋体"/>
          <w:kern w:val="0"/>
          <w:sz w:val="32"/>
          <w:szCs w:val="32"/>
        </w:rPr>
      </w:pPr>
    </w:p>
    <w:p>
      <w:pPr>
        <w:widowControl/>
        <w:spacing w:line="560" w:lineRule="exact"/>
        <w:ind w:right="640"/>
        <w:rPr>
          <w:rFonts w:ascii="仿宋_GB2312" w:hAnsi="仿宋" w:eastAsia="仿宋_GB2312" w:cs="宋体"/>
          <w:kern w:val="0"/>
          <w:sz w:val="32"/>
          <w:szCs w:val="32"/>
        </w:rPr>
      </w:pPr>
    </w:p>
    <w:p>
      <w:pPr>
        <w:widowControl/>
        <w:spacing w:line="560" w:lineRule="exact"/>
        <w:rPr>
          <w:rFonts w:ascii="仿宋_GB2312" w:hAnsi="仿宋" w:eastAsia="仿宋_GB2312" w:cs="宋体"/>
          <w:kern w:val="0"/>
          <w:sz w:val="32"/>
          <w:szCs w:val="32"/>
        </w:rPr>
      </w:pPr>
    </w:p>
    <w:p>
      <w:pPr>
        <w:widowControl/>
        <w:spacing w:line="560" w:lineRule="exact"/>
        <w:ind w:firstLine="640" w:firstLineChars="200"/>
        <w:jc w:val="left"/>
        <w:rPr>
          <w:rFonts w:ascii="仿宋_GB2312" w:hAnsi="仿宋" w:eastAsia="仿宋_GB2312" w:cs="宋体"/>
          <w:kern w:val="0"/>
          <w:sz w:val="32"/>
          <w:szCs w:val="32"/>
        </w:rPr>
      </w:pPr>
    </w:p>
    <w:tbl>
      <w:tblPr>
        <w:tblStyle w:val="7"/>
        <w:tblW w:w="9174"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174"/>
      </w:tblGrid>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 w:hRule="atLeast"/>
        </w:trPr>
        <w:tc>
          <w:tcPr>
            <w:tcW w:w="9174" w:type="dxa"/>
            <w:vAlign w:val="bottom"/>
          </w:tcPr>
          <w:p>
            <w:pPr>
              <w:spacing w:line="20" w:lineRule="exact"/>
              <w:rPr>
                <w:rFonts w:ascii="仿宋_GB2312" w:eastAsia="仿宋_GB2312" w:cs="仿宋_GB2312"/>
                <w:kern w:val="0"/>
                <w:sz w:val="2"/>
                <w:szCs w:val="10"/>
              </w:rPr>
            </w:pP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trPr>
        <w:tc>
          <w:tcPr>
            <w:tcW w:w="9174" w:type="dxa"/>
            <w:tcBorders>
              <w:bottom w:val="single" w:color="auto" w:sz="18" w:space="0"/>
            </w:tcBorders>
            <w:vAlign w:val="bottom"/>
          </w:tcPr>
          <w:p>
            <w:pPr>
              <w:rPr>
                <w:rFonts w:ascii="仿宋_GB2312" w:eastAsia="仿宋_GB2312" w:cs="仿宋_GB2312"/>
                <w:kern w:val="0"/>
                <w:sz w:val="32"/>
                <w:szCs w:val="32"/>
              </w:rPr>
            </w:pPr>
            <w:r>
              <w:rPr>
                <w:rFonts w:hint="eastAsia" w:ascii="仿宋_GB2312" w:eastAsia="仿宋_GB2312" w:cs="仿宋_GB2312"/>
                <w:kern w:val="0"/>
                <w:sz w:val="32"/>
                <w:szCs w:val="32"/>
              </w:rPr>
              <w:t>拟稿人：李晓燕       核稿人：李永全       签发人：董岳</w:t>
            </w:r>
          </w:p>
        </w:tc>
      </w:tr>
    </w:tbl>
    <w:p>
      <w:pPr>
        <w:widowControl/>
        <w:spacing w:line="260" w:lineRule="exact"/>
        <w:ind w:firstLine="640" w:firstLineChars="200"/>
        <w:jc w:val="left"/>
        <w:rPr>
          <w:rFonts w:ascii="仿宋" w:hAnsi="仿宋" w:eastAsia="仿宋" w:cs="宋体"/>
          <w:kern w:val="0"/>
          <w:sz w:val="32"/>
          <w:szCs w:val="32"/>
        </w:rPr>
      </w:pPr>
    </w:p>
    <w:sectPr>
      <w:pgSz w:w="11906" w:h="16838"/>
      <w:pgMar w:top="1701" w:right="1474" w:bottom="113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92D3A"/>
    <w:rsid w:val="000072EF"/>
    <w:rsid w:val="0001116F"/>
    <w:rsid w:val="0002000A"/>
    <w:rsid w:val="00025553"/>
    <w:rsid w:val="00037E13"/>
    <w:rsid w:val="000659F9"/>
    <w:rsid w:val="0009022A"/>
    <w:rsid w:val="000B1359"/>
    <w:rsid w:val="000B4C3C"/>
    <w:rsid w:val="000F33B8"/>
    <w:rsid w:val="001028DE"/>
    <w:rsid w:val="00125654"/>
    <w:rsid w:val="0012634F"/>
    <w:rsid w:val="00137438"/>
    <w:rsid w:val="00142BA3"/>
    <w:rsid w:val="00150857"/>
    <w:rsid w:val="001638D6"/>
    <w:rsid w:val="00172387"/>
    <w:rsid w:val="00177E62"/>
    <w:rsid w:val="00180BF8"/>
    <w:rsid w:val="00182310"/>
    <w:rsid w:val="0019795F"/>
    <w:rsid w:val="001A17EC"/>
    <w:rsid w:val="001A2A7D"/>
    <w:rsid w:val="001A5453"/>
    <w:rsid w:val="001C0662"/>
    <w:rsid w:val="001C70D2"/>
    <w:rsid w:val="001C71EA"/>
    <w:rsid w:val="001D17B2"/>
    <w:rsid w:val="001D6B96"/>
    <w:rsid w:val="001E25F4"/>
    <w:rsid w:val="001E4ECE"/>
    <w:rsid w:val="0020068F"/>
    <w:rsid w:val="00211751"/>
    <w:rsid w:val="00223BE9"/>
    <w:rsid w:val="002369D0"/>
    <w:rsid w:val="00243CBE"/>
    <w:rsid w:val="00244A4E"/>
    <w:rsid w:val="002560F2"/>
    <w:rsid w:val="0026084D"/>
    <w:rsid w:val="00260E5C"/>
    <w:rsid w:val="00276036"/>
    <w:rsid w:val="002945D5"/>
    <w:rsid w:val="00294AC5"/>
    <w:rsid w:val="002A7137"/>
    <w:rsid w:val="002B0869"/>
    <w:rsid w:val="002B1773"/>
    <w:rsid w:val="002B3CB2"/>
    <w:rsid w:val="002B623E"/>
    <w:rsid w:val="002E55A7"/>
    <w:rsid w:val="002F17FE"/>
    <w:rsid w:val="00307009"/>
    <w:rsid w:val="00340253"/>
    <w:rsid w:val="00345AED"/>
    <w:rsid w:val="00356ED4"/>
    <w:rsid w:val="00363237"/>
    <w:rsid w:val="00373D33"/>
    <w:rsid w:val="0037661F"/>
    <w:rsid w:val="00384BDB"/>
    <w:rsid w:val="00394CFD"/>
    <w:rsid w:val="003B3192"/>
    <w:rsid w:val="003D211D"/>
    <w:rsid w:val="003E72B1"/>
    <w:rsid w:val="00410C36"/>
    <w:rsid w:val="00452F22"/>
    <w:rsid w:val="00483567"/>
    <w:rsid w:val="00484CE5"/>
    <w:rsid w:val="00497A18"/>
    <w:rsid w:val="004A23D8"/>
    <w:rsid w:val="004A39C2"/>
    <w:rsid w:val="004A4B26"/>
    <w:rsid w:val="004C78EC"/>
    <w:rsid w:val="0050647F"/>
    <w:rsid w:val="00512824"/>
    <w:rsid w:val="00513AF0"/>
    <w:rsid w:val="0053207F"/>
    <w:rsid w:val="00555377"/>
    <w:rsid w:val="00563FBC"/>
    <w:rsid w:val="0056602C"/>
    <w:rsid w:val="0057005C"/>
    <w:rsid w:val="00580AD6"/>
    <w:rsid w:val="005A25F4"/>
    <w:rsid w:val="005A2FE0"/>
    <w:rsid w:val="005A5B03"/>
    <w:rsid w:val="005B2838"/>
    <w:rsid w:val="005B4EE5"/>
    <w:rsid w:val="005C73F6"/>
    <w:rsid w:val="005E2BAB"/>
    <w:rsid w:val="00611FAF"/>
    <w:rsid w:val="006178CA"/>
    <w:rsid w:val="006260C7"/>
    <w:rsid w:val="006403AF"/>
    <w:rsid w:val="00652AF1"/>
    <w:rsid w:val="006543BD"/>
    <w:rsid w:val="00667A4C"/>
    <w:rsid w:val="006712B1"/>
    <w:rsid w:val="0068450B"/>
    <w:rsid w:val="006A0CC1"/>
    <w:rsid w:val="006C51D2"/>
    <w:rsid w:val="006F17E3"/>
    <w:rsid w:val="006F6E7B"/>
    <w:rsid w:val="007039C9"/>
    <w:rsid w:val="00712CF7"/>
    <w:rsid w:val="007146CD"/>
    <w:rsid w:val="00760ADF"/>
    <w:rsid w:val="00792D3A"/>
    <w:rsid w:val="007A2711"/>
    <w:rsid w:val="007B2D71"/>
    <w:rsid w:val="007B56C8"/>
    <w:rsid w:val="007C51C1"/>
    <w:rsid w:val="007E5F0E"/>
    <w:rsid w:val="007F1421"/>
    <w:rsid w:val="007F15A0"/>
    <w:rsid w:val="00832A2D"/>
    <w:rsid w:val="00870C09"/>
    <w:rsid w:val="00876F19"/>
    <w:rsid w:val="00883C4E"/>
    <w:rsid w:val="008A1FCB"/>
    <w:rsid w:val="008C1B4C"/>
    <w:rsid w:val="008D2893"/>
    <w:rsid w:val="008F0B6D"/>
    <w:rsid w:val="00902CE1"/>
    <w:rsid w:val="009162E5"/>
    <w:rsid w:val="00916A76"/>
    <w:rsid w:val="009339F7"/>
    <w:rsid w:val="00960A87"/>
    <w:rsid w:val="00970627"/>
    <w:rsid w:val="0098350F"/>
    <w:rsid w:val="009B3021"/>
    <w:rsid w:val="009B3CE5"/>
    <w:rsid w:val="009D2CE3"/>
    <w:rsid w:val="009E5D52"/>
    <w:rsid w:val="009F62C5"/>
    <w:rsid w:val="009F7C1E"/>
    <w:rsid w:val="00A05527"/>
    <w:rsid w:val="00A055A9"/>
    <w:rsid w:val="00A379C9"/>
    <w:rsid w:val="00A51180"/>
    <w:rsid w:val="00A53673"/>
    <w:rsid w:val="00A6515A"/>
    <w:rsid w:val="00A832E5"/>
    <w:rsid w:val="00AA4617"/>
    <w:rsid w:val="00AA547D"/>
    <w:rsid w:val="00B0711F"/>
    <w:rsid w:val="00B15137"/>
    <w:rsid w:val="00B172AE"/>
    <w:rsid w:val="00B2539C"/>
    <w:rsid w:val="00B35A1F"/>
    <w:rsid w:val="00B5742C"/>
    <w:rsid w:val="00B73449"/>
    <w:rsid w:val="00B756A7"/>
    <w:rsid w:val="00B830CD"/>
    <w:rsid w:val="00B93144"/>
    <w:rsid w:val="00B9697B"/>
    <w:rsid w:val="00BB4EF8"/>
    <w:rsid w:val="00BB5588"/>
    <w:rsid w:val="00BE060C"/>
    <w:rsid w:val="00BF0744"/>
    <w:rsid w:val="00BF77C3"/>
    <w:rsid w:val="00C00985"/>
    <w:rsid w:val="00C126C0"/>
    <w:rsid w:val="00C4037B"/>
    <w:rsid w:val="00C645C0"/>
    <w:rsid w:val="00CA23A7"/>
    <w:rsid w:val="00CA3E9B"/>
    <w:rsid w:val="00CB1FD2"/>
    <w:rsid w:val="00CB5A1E"/>
    <w:rsid w:val="00CF3382"/>
    <w:rsid w:val="00D160B3"/>
    <w:rsid w:val="00D23051"/>
    <w:rsid w:val="00D47EBD"/>
    <w:rsid w:val="00D50545"/>
    <w:rsid w:val="00D601F6"/>
    <w:rsid w:val="00D64FBE"/>
    <w:rsid w:val="00D94EF1"/>
    <w:rsid w:val="00DA02E1"/>
    <w:rsid w:val="00DA3E6C"/>
    <w:rsid w:val="00DB5E4E"/>
    <w:rsid w:val="00DD3B34"/>
    <w:rsid w:val="00DE28FD"/>
    <w:rsid w:val="00DF64F3"/>
    <w:rsid w:val="00E10105"/>
    <w:rsid w:val="00E24918"/>
    <w:rsid w:val="00E305BE"/>
    <w:rsid w:val="00E559C3"/>
    <w:rsid w:val="00E61033"/>
    <w:rsid w:val="00E62999"/>
    <w:rsid w:val="00E7777F"/>
    <w:rsid w:val="00E86C1E"/>
    <w:rsid w:val="00EC1BF1"/>
    <w:rsid w:val="00ED699A"/>
    <w:rsid w:val="00ED6DEF"/>
    <w:rsid w:val="00F11A75"/>
    <w:rsid w:val="00F16009"/>
    <w:rsid w:val="00F7140D"/>
    <w:rsid w:val="00FB57A0"/>
    <w:rsid w:val="00FC0103"/>
    <w:rsid w:val="00FC1349"/>
    <w:rsid w:val="00FD05D2"/>
    <w:rsid w:val="00FE656A"/>
    <w:rsid w:val="00FE7297"/>
    <w:rsid w:val="00FF19E8"/>
    <w:rsid w:val="0A7B1FAD"/>
    <w:rsid w:val="0DEB2E5F"/>
    <w:rsid w:val="145436BF"/>
    <w:rsid w:val="2F2F4947"/>
    <w:rsid w:val="3A4F2B9E"/>
    <w:rsid w:val="5DD922D2"/>
    <w:rsid w:val="611B2CAF"/>
    <w:rsid w:val="70EF5B1E"/>
    <w:rsid w:val="73D154B8"/>
    <w:rsid w:val="76447419"/>
    <w:rsid w:val="7B276880"/>
    <w:rsid w:val="7CEB506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List Paragraph"/>
    <w:basedOn w:val="1"/>
    <w:qFormat/>
    <w:uiPriority w:val="34"/>
    <w:pPr>
      <w:ind w:firstLine="420" w:firstLineChars="200"/>
    </w:p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日期 字符"/>
    <w:basedOn w:val="8"/>
    <w:link w:val="2"/>
    <w:semiHidden/>
    <w:qFormat/>
    <w:uiPriority w:val="99"/>
  </w:style>
  <w:style w:type="character" w:customStyle="1" w:styleId="13">
    <w:name w:val="批注框文本 字符"/>
    <w:basedOn w:val="8"/>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Pages>
  <Words>364</Words>
  <Characters>2081</Characters>
  <Lines>17</Lines>
  <Paragraphs>4</Paragraphs>
  <TotalTime>127</TotalTime>
  <ScaleCrop>false</ScaleCrop>
  <LinksUpToDate>false</LinksUpToDate>
  <CharactersWithSpaces>2441</CharactersWithSpaces>
  <Application>WPS Office_11.1.0.9926_F1E327BC-269C-435d-A152-05C5408002CA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2015-06-28T23:26:00Z</dcterms:created>
  <dc:creator>administrator</dc:creator>
  <cp:lastModifiedBy>Yan</cp:lastModifiedBy>
  <cp:lastPrinted>2019-12-24T06:39:00Z</cp:lastPrinted>
  <dcterms:modified xsi:type="dcterms:W3CDTF">2020-08-30T06:10:39Z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