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7" w:tblpY="1997"/>
        <w:tblOverlap w:val="never"/>
        <w:tblW w:w="9260" w:type="dxa"/>
        <w:tblCellSpacing w:w="0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260"/>
      </w:tblGrid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555" w:hRule="atLeast"/>
          <w:tblCellSpacing w:w="0" w:type="dxa"/>
        </w:trPr>
        <w:tc>
          <w:tcPr>
            <w:tcW w:w="9260" w:type="dxa"/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  <w:shd w:val="clear" w:color="auto" w:fill="FFFFFF"/>
              </w:rPr>
              <w:t>山东农业大学</w:t>
            </w:r>
          </w:p>
          <w:p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  <w:shd w:val="clear" w:color="auto" w:fill="FFFFFF"/>
              </w:rPr>
              <w:t>201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ascii="仿宋_GB2312" w:hAnsi="仿宋_GB2312" w:eastAsia="仿宋_GB2312"/>
                <w:b/>
                <w:color w:val="000000"/>
                <w:sz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ascii="仿宋_GB2312" w:hAnsi="仿宋_GB2312" w:eastAsia="仿宋_GB2312"/>
                <w:b/>
                <w:color w:val="000000"/>
                <w:sz w:val="28"/>
                <w:shd w:val="clear" w:color="auto" w:fill="FFFFFF"/>
              </w:rPr>
              <w:t>月关于授予博士学位的公告</w:t>
            </w:r>
          </w:p>
          <w:p>
            <w:pPr>
              <w:shd w:val="solid" w:color="FFFFFF" w:fill="auto"/>
              <w:autoSpaceDN w:val="0"/>
              <w:spacing w:line="500" w:lineRule="exact"/>
              <w:ind w:firstLine="560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500" w:lineRule="exact"/>
              <w:ind w:firstLine="56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28"/>
                <w:shd w:val="clear" w:color="auto" w:fill="FFFFFF"/>
              </w:rPr>
              <w:t>根据《中华人民共和国学位条例》的有关规定，经学院教授委员会推荐，学校学位评定委员会审核通过，决定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授予以下研究生博士学位。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</w:rPr>
              <w:t>授予：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任军、唐海霞、张建成、许静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</w:rPr>
              <w:t>人农学博士学位；</w:t>
            </w:r>
          </w:p>
          <w:p>
            <w:pP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授予：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王灿灿、唐丽苹、刘海青、李泽惠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等4人理学博士学位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  <w:t>；</w:t>
            </w: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hd w:val="clear" w:color="auto" w:fill="FFFFFF"/>
              </w:rPr>
              <w:t>自今日起，异议期三个月，三个月后，如无异议，则颁发博士学位证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  <w:t>书。</w:t>
            </w: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70" w:lineRule="atLeast"/>
              <w:ind w:firstLine="560" w:firstLineChars="200"/>
              <w:jc w:val="both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hd w:val="clear" w:color="auto" w:fill="FFFFFF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 w:val="28"/>
                <w:shd w:val="clear" w:color="auto" w:fill="FFFFFF"/>
              </w:rPr>
              <w:t>山东农业大学学位评定委员会</w:t>
            </w:r>
          </w:p>
          <w:p>
            <w:pPr>
              <w:shd w:val="solid" w:color="FFFFFF" w:fill="auto"/>
              <w:autoSpaceDN w:val="0"/>
              <w:spacing w:line="500" w:lineRule="exact"/>
              <w:ind w:firstLine="422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  <w:shd w:val="clear" w:color="auto" w:fill="FFFFFF"/>
              </w:rPr>
              <w:t>　　　　　　　　　　　　　　　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hd w:val="clear" w:color="auto" w:fill="FFFFFF"/>
              </w:rPr>
              <w:t xml:space="preserve"> 二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hd w:val="clear" w:color="auto" w:fill="FFFFFF"/>
                <w:lang w:eastAsia="zh-CN"/>
              </w:rPr>
              <w:t>〇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hd w:val="clear" w:color="auto" w:fill="FFFFFF"/>
              </w:rPr>
              <w:t>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hd w:val="clear" w:color="auto" w:fill="FFFFFF"/>
                <w:lang w:val="en-US" w:eastAsia="zh-CN"/>
              </w:rPr>
              <w:t>六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hd w:val="clear" w:color="auto" w:fill="FFFFFF"/>
                <w:lang w:eastAsia="zh-CN"/>
              </w:rPr>
              <w:t>十二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hd w:val="clear" w:color="auto" w:fill="FFFFFF"/>
                <w:lang w:eastAsia="zh-CN"/>
              </w:rPr>
              <w:t>二十一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hd w:val="clear" w:color="auto" w:fill="FFFFFF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D2DDA"/>
    <w:rsid w:val="402D5AE7"/>
    <w:rsid w:val="60BD23BE"/>
    <w:rsid w:val="64791966"/>
    <w:rsid w:val="7CBB0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2016-12-21T04:28:53Z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